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51" w:rsidRPr="00160B0E" w:rsidRDefault="00160B0E" w:rsidP="00160B0E">
      <w:pPr>
        <w:pStyle w:val="Title"/>
        <w:jc w:val="center"/>
        <w:rPr>
          <w:b w:val="0"/>
          <w:szCs w:val="24"/>
        </w:rPr>
      </w:pPr>
      <w:r w:rsidRPr="00160B0E">
        <w:rPr>
          <w:b w:val="0"/>
          <w:szCs w:val="24"/>
        </w:rPr>
        <w:t>Evaluation of a Novel Stirling Engine</w:t>
      </w:r>
    </w:p>
    <w:p w:rsidR="00160B0E" w:rsidRPr="00160B0E" w:rsidRDefault="00160B0E" w:rsidP="00160B0E">
      <w:pPr>
        <w:spacing w:after="0"/>
        <w:jc w:val="center"/>
        <w:rPr>
          <w:rFonts w:cs="Times New Roman"/>
          <w:sz w:val="24"/>
          <w:szCs w:val="24"/>
        </w:rPr>
      </w:pPr>
      <w:r w:rsidRPr="00160B0E">
        <w:rPr>
          <w:rFonts w:cs="Times New Roman"/>
          <w:sz w:val="24"/>
          <w:szCs w:val="24"/>
        </w:rPr>
        <w:t>T</w:t>
      </w:r>
      <w:r w:rsidR="002C1061">
        <w:rPr>
          <w:rFonts w:cs="Times New Roman"/>
          <w:sz w:val="24"/>
          <w:szCs w:val="24"/>
        </w:rPr>
        <w:t xml:space="preserve">. G. W. </w:t>
      </w:r>
      <w:r w:rsidRPr="00160B0E">
        <w:rPr>
          <w:rFonts w:cs="Times New Roman"/>
          <w:sz w:val="24"/>
          <w:szCs w:val="24"/>
        </w:rPr>
        <w:t>de Meijer, J</w:t>
      </w:r>
      <w:r w:rsidR="002C1061">
        <w:rPr>
          <w:rFonts w:cs="Times New Roman"/>
          <w:sz w:val="24"/>
          <w:szCs w:val="24"/>
        </w:rPr>
        <w:t>. K.</w:t>
      </w:r>
      <w:r w:rsidRPr="00160B0E">
        <w:rPr>
          <w:rFonts w:cs="Times New Roman"/>
          <w:sz w:val="24"/>
          <w:szCs w:val="24"/>
        </w:rPr>
        <w:t xml:space="preserve"> Carson</w:t>
      </w:r>
    </w:p>
    <w:p w:rsidR="00160B0E" w:rsidRPr="00160B0E" w:rsidRDefault="00D11575" w:rsidP="00160B0E">
      <w:pPr>
        <w:spacing w:after="0"/>
        <w:jc w:val="center"/>
        <w:rPr>
          <w:rFonts w:cs="Times New Roman"/>
          <w:szCs w:val="20"/>
        </w:rPr>
      </w:pPr>
      <w:r>
        <w:rPr>
          <w:rFonts w:cs="Times New Roman"/>
          <w:szCs w:val="20"/>
        </w:rPr>
        <w:t>School of Engineering, University of Waikato, Hamilton</w:t>
      </w:r>
    </w:p>
    <w:p w:rsidR="00160B0E" w:rsidRDefault="00D11575" w:rsidP="00160B0E">
      <w:pPr>
        <w:spacing w:after="0"/>
        <w:jc w:val="center"/>
        <w:rPr>
          <w:rFonts w:cs="Times New Roman"/>
          <w:szCs w:val="20"/>
        </w:rPr>
      </w:pPr>
      <w:r w:rsidRPr="00D11575">
        <w:rPr>
          <w:rFonts w:cs="Times New Roman"/>
          <w:szCs w:val="20"/>
        </w:rPr>
        <w:t>tgwd1@waikato.ac.nz</w:t>
      </w:r>
      <w:r>
        <w:rPr>
          <w:rFonts w:cs="Times New Roman"/>
          <w:szCs w:val="20"/>
        </w:rPr>
        <w:t>, jkcarson@waikato.ac.nz</w:t>
      </w:r>
    </w:p>
    <w:p w:rsidR="00160B0E" w:rsidRDefault="00160B0E" w:rsidP="00160B0E">
      <w:pPr>
        <w:spacing w:after="0"/>
        <w:jc w:val="center"/>
        <w:rPr>
          <w:rFonts w:cs="Times New Roman"/>
          <w:szCs w:val="20"/>
        </w:rPr>
      </w:pPr>
    </w:p>
    <w:p w:rsidR="00160B0E" w:rsidRPr="008A107C" w:rsidRDefault="00160B0E" w:rsidP="008A107C">
      <w:pPr>
        <w:spacing w:after="0"/>
        <w:rPr>
          <w:rFonts w:ascii="Arial" w:hAnsi="Arial" w:cs="Arial"/>
          <w:b/>
          <w:szCs w:val="20"/>
        </w:rPr>
      </w:pPr>
      <w:r w:rsidRPr="008A107C">
        <w:rPr>
          <w:rFonts w:ascii="Arial" w:hAnsi="Arial" w:cs="Arial"/>
          <w:b/>
          <w:szCs w:val="20"/>
        </w:rPr>
        <w:t>Abstract</w:t>
      </w:r>
    </w:p>
    <w:p w:rsidR="008A107C" w:rsidRDefault="00D11575" w:rsidP="00EE0BEB">
      <w:pPr>
        <w:spacing w:before="240" w:after="0"/>
      </w:pPr>
      <w:r w:rsidRPr="008A107C">
        <w:t xml:space="preserve">Maecenas bibendum, arcu eu accumsan adipiscing, purus urna semper arcu, at dignissim sem est et arcu. Suspendisse dignissim leo justo, id fringilla purus convallis non. Integer felis neque, ultrices sit amet tellus non, iaculis scelerisque ipsum. Nunc lacinia sodales imperdiet. Nulla tristique laoreet nibh, sit amet iaculis elit tincidunt at. Suspendisse in purus a purus dignissim interdum. Mauris dapibus in tellus eget ullamcorper. Mauris tellus elit, suscipit semper nunc eu, </w:t>
      </w:r>
      <w:r w:rsidRPr="00EE0BEB">
        <w:t>pellentesque cursus sapien. Vivamus id est fringilla, pellentesque enim id, consequat ligula.</w:t>
      </w:r>
    </w:p>
    <w:p w:rsidR="00EE0BEB" w:rsidRDefault="00EE0BEB" w:rsidP="00EE0BEB">
      <w:pPr>
        <w:spacing w:before="240" w:after="0"/>
      </w:pPr>
    </w:p>
    <w:p w:rsidR="00EE0BEB" w:rsidRDefault="00EE0BEB" w:rsidP="00EE0BEB">
      <w:pPr>
        <w:spacing w:before="240" w:after="0"/>
        <w:sectPr w:rsidR="00EE0BEB" w:rsidSect="00160B0E">
          <w:headerReference w:type="default" r:id="rId9"/>
          <w:footerReference w:type="default" r:id="rId10"/>
          <w:pgSz w:w="11906" w:h="16838"/>
          <w:pgMar w:top="1134" w:right="1134" w:bottom="1134" w:left="1134" w:header="567" w:footer="567" w:gutter="0"/>
          <w:cols w:space="708"/>
          <w:docGrid w:linePitch="360"/>
        </w:sectPr>
      </w:pPr>
    </w:p>
    <w:p w:rsidR="00D11575" w:rsidRDefault="00D11575" w:rsidP="00EE0BEB">
      <w:pPr>
        <w:pStyle w:val="Heading1"/>
        <w:spacing w:before="0"/>
      </w:pPr>
      <w:r>
        <w:lastRenderedPageBreak/>
        <w:t>Introduction</w:t>
      </w:r>
    </w:p>
    <w:p w:rsidR="00BA6484" w:rsidRPr="00626A94" w:rsidRDefault="00BA6484" w:rsidP="00EE0BEB">
      <w:r>
        <w:t>Rodney Sharp, a Stirling engine enthusiast, has approached the university with a novel Stirling engine design. The engine has been designed from a mechanical point of view, but not thermodynamically. Because the engine deviates in its operation from “conventional” Stirling engines, the feasibility of this concept need</w:t>
      </w:r>
      <w:r w:rsidR="00F924FA">
        <w:t>ed</w:t>
      </w:r>
      <w:r>
        <w:t xml:space="preserve"> to be assessed.</w:t>
      </w:r>
    </w:p>
    <w:p w:rsidR="00F924FA" w:rsidRDefault="00BA6484" w:rsidP="00EE0BEB">
      <w:r>
        <w:t xml:space="preserve">Stirling engines are a form of external combustion engine working on the principles of the Stirling cycle. The theoretical Stirling cycle works at Carnot efficiency, giving Stirling engines the potential to achieve very high efficiencies. The </w:t>
      </w:r>
      <w:r w:rsidR="00F924FA">
        <w:t xml:space="preserve">ideal </w:t>
      </w:r>
      <w:r>
        <w:t>Stirling</w:t>
      </w:r>
      <w:r w:rsidR="00F924FA">
        <w:t xml:space="preserve"> cycle comprises of four stages</w:t>
      </w:r>
      <w:r>
        <w:t xml:space="preserve"> </w:t>
      </w:r>
      <w:r>
        <w:rPr>
          <w:b/>
        </w:rPr>
        <w:fldChar w:fldCharType="begin" w:fldLock="1"/>
      </w:r>
      <w:r w:rsidR="008839A0">
        <w:rPr>
          <w:b/>
        </w:rPr>
        <w:instrText>ADDIN CSL_CITATION { "citationItems" : [ { "id" : "ITEM-1", "itemData" : { "DOI" : "10.1016/S1364-0321(02)00053-9", "ISBN" : "6624709111", "ISSN" : "13640321", "author" : [ { "dropping-particle" : "", "family" : "Kongtragool", "given" : "Bancha", "non-dropping-particle" : "", "parse-names" : false, "suffix" : "" }, { "dropping-particle" : "", "family" : "Wongwises", "given" : "Somchai", "non-dropping-particle" : "", "parse-names" : false, "suffix" : "" } ], "container-title" : "Renewable and Sustainable Energy Reviews", "id" : "ITEM-1", "issue" : "2", "issued" : { "date-parts" : [ [ "2003", "4" ] ] }, "page" : "131-154", "title" : "A review of solar-powered Stirling engines and low temperature differential Stirling engines", "type" : "article-journal", "volume" : "7" }, "uris" : [ "http://www.mendeley.com/documents/?uuid=aed650b5-f8c0-4096-9d8b-70731ced34da" ] } ], "mendeley" : { "previouslyFormattedCitation" : "(Kongtragool &amp; Wongwises, 2003)" }, "properties" : { "noteIndex" : 0 }, "schema" : "https://github.com/citation-style-language/schema/raw/master/csl-citation.json" }</w:instrText>
      </w:r>
      <w:r>
        <w:rPr>
          <w:b/>
        </w:rPr>
        <w:fldChar w:fldCharType="separate"/>
      </w:r>
      <w:r w:rsidRPr="008839A0">
        <w:rPr>
          <w:noProof/>
        </w:rPr>
        <w:t>(Kongtragool &amp; Wongwises, 2003)</w:t>
      </w:r>
      <w:r>
        <w:rPr>
          <w:b/>
        </w:rPr>
        <w:fldChar w:fldCharType="end"/>
      </w:r>
      <w:r>
        <w:t xml:space="preserve">. </w:t>
      </w:r>
    </w:p>
    <w:p w:rsidR="00F924FA" w:rsidRDefault="00F924FA" w:rsidP="00F924FA">
      <w:pPr>
        <w:pStyle w:val="ListParagraph"/>
        <w:numPr>
          <w:ilvl w:val="1"/>
          <w:numId w:val="6"/>
        </w:numPr>
      </w:pPr>
      <w:r>
        <w:t>Isothermal compression.</w:t>
      </w:r>
    </w:p>
    <w:p w:rsidR="00F924FA" w:rsidRDefault="00F924FA" w:rsidP="00F924FA">
      <w:pPr>
        <w:pStyle w:val="ListParagraph"/>
        <w:numPr>
          <w:ilvl w:val="1"/>
          <w:numId w:val="7"/>
        </w:numPr>
      </w:pPr>
      <w:r>
        <w:t>Constant volume heat addition</w:t>
      </w:r>
    </w:p>
    <w:p w:rsidR="00F924FA" w:rsidRDefault="00F924FA" w:rsidP="00F924FA">
      <w:pPr>
        <w:pStyle w:val="ListParagraph"/>
        <w:numPr>
          <w:ilvl w:val="1"/>
          <w:numId w:val="8"/>
        </w:numPr>
      </w:pPr>
      <w:r>
        <w:t>I</w:t>
      </w:r>
      <w:r w:rsidR="00BA6484">
        <w:t xml:space="preserve">sothermal </w:t>
      </w:r>
      <w:r>
        <w:t>expansion</w:t>
      </w:r>
    </w:p>
    <w:p w:rsidR="00F924FA" w:rsidRDefault="00F924FA" w:rsidP="00F924FA">
      <w:pPr>
        <w:pStyle w:val="ListParagraph"/>
        <w:numPr>
          <w:ilvl w:val="1"/>
          <w:numId w:val="9"/>
        </w:numPr>
      </w:pPr>
      <w:r>
        <w:t>C</w:t>
      </w:r>
      <w:r w:rsidR="00BA6484">
        <w:t xml:space="preserve">onstant volume </w:t>
      </w:r>
      <w:r>
        <w:t>heat rejection</w:t>
      </w:r>
    </w:p>
    <w:p w:rsidR="00BA6484" w:rsidRDefault="00BA6484" w:rsidP="00F924FA">
      <w:r>
        <w:t xml:space="preserve">Since the isothermal expansion is done at a higher temperature and pressure than the compression, net work is done. During stage </w:t>
      </w:r>
      <w:r w:rsidR="00F924FA">
        <w:t xml:space="preserve">2-3 </w:t>
      </w:r>
      <w:r>
        <w:t xml:space="preserve">and </w:t>
      </w:r>
      <w:r w:rsidR="00F924FA">
        <w:t>4-1 hea</w:t>
      </w:r>
      <w:r>
        <w:t xml:space="preserve">t is transferred alternatively from the working fluid to a regenerator and back again. The regenerator is what allows the cycle to reach Carnot efficiency, in theory </w:t>
      </w:r>
      <w:r>
        <w:fldChar w:fldCharType="begin" w:fldLock="1"/>
      </w:r>
      <w:r w:rsidR="008839A0">
        <w:instrText>ADDIN CSL_CITATION { "citationItems" : [ { "id" : "ITEM-1", "itemData" : { "ISBN" : "9780071257718", "author" : [ { "dropping-particle" : "", "family" : "\u00c7engel", "given" : "Y A", "non-dropping-particle" : "", "parse-names" : false, "suffix" : "" }, { "dropping-particle" : "", "family" : "Boles", "given" : "M A", "non-dropping-particle" : "", "parse-names" : false, "suffix" : "" } ], "id" : "ITEM-1", "issued" : { "date-parts" : [ [ "2007" ] ] }, "publisher" : "McGraw-Hill Higher Education", "publisher-place" : "New York", "title" : "Thermodynamics: An Engineering Approach, SI Version", "type" : "book" }, "uris" : [ "http://www.mendeley.com/documents/?uuid=1e2a7b78-2741-4e7d-8bea-3c2c38d03deb" ] } ], "mendeley" : { "previouslyFormattedCitation" : "(\u00c7engel &amp; Boles, 2007)" }, "properties" : { "noteIndex" : 0 }, "schema" : "https://github.com/citation-style-language/schema/raw/master/csl-citation.json" }</w:instrText>
      </w:r>
      <w:r>
        <w:fldChar w:fldCharType="separate"/>
      </w:r>
      <w:r w:rsidRPr="008839A0">
        <w:rPr>
          <w:noProof/>
        </w:rPr>
        <w:t>(Çengel &amp; Boles, 2007)</w:t>
      </w:r>
      <w:r>
        <w:fldChar w:fldCharType="end"/>
      </w:r>
      <w:r>
        <w:t>.</w:t>
      </w:r>
    </w:p>
    <w:p w:rsidR="00BA6484" w:rsidRDefault="00BA6484" w:rsidP="00EE0BEB">
      <w:pPr>
        <w:keepNext/>
        <w:jc w:val="center"/>
      </w:pPr>
      <w:r>
        <w:rPr>
          <w:noProof/>
          <w:lang w:eastAsia="en-NZ"/>
        </w:rPr>
        <w:drawing>
          <wp:inline distT="0" distB="0" distL="0" distR="0" wp14:anchorId="6288AFD4" wp14:editId="30CE3F0B">
            <wp:extent cx="4704969" cy="20955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gtragool2.png"/>
                    <pic:cNvPicPr/>
                  </pic:nvPicPr>
                  <pic:blipFill>
                    <a:blip r:embed="rId11">
                      <a:extLst>
                        <a:ext uri="{28A0092B-C50C-407E-A947-70E740481C1C}">
                          <a14:useLocalDpi xmlns:a14="http://schemas.microsoft.com/office/drawing/2010/main" val="0"/>
                        </a:ext>
                      </a:extLst>
                    </a:blip>
                    <a:stretch>
                      <a:fillRect/>
                    </a:stretch>
                  </pic:blipFill>
                  <pic:spPr>
                    <a:xfrm>
                      <a:off x="0" y="0"/>
                      <a:ext cx="4714873" cy="2099911"/>
                    </a:xfrm>
                    <a:prstGeom prst="rect">
                      <a:avLst/>
                    </a:prstGeom>
                  </pic:spPr>
                </pic:pic>
              </a:graphicData>
            </a:graphic>
          </wp:inline>
        </w:drawing>
      </w:r>
    </w:p>
    <w:p w:rsidR="00BA6484" w:rsidRDefault="00BA6484" w:rsidP="00EE0BEB">
      <w:pPr>
        <w:pStyle w:val="Caption"/>
        <w:jc w:val="center"/>
      </w:pPr>
      <w:bookmarkStart w:id="0" w:name="_Ref362215618"/>
      <w:r>
        <w:t xml:space="preserve">Figure </w:t>
      </w:r>
      <w:r w:rsidR="008839A0">
        <w:fldChar w:fldCharType="begin"/>
      </w:r>
      <w:r w:rsidR="008839A0">
        <w:instrText xml:space="preserve"> SEQ Figure \* ARABIC </w:instrText>
      </w:r>
      <w:r w:rsidR="008839A0">
        <w:fldChar w:fldCharType="separate"/>
      </w:r>
      <w:r w:rsidR="00A029FA">
        <w:rPr>
          <w:noProof/>
        </w:rPr>
        <w:t>1</w:t>
      </w:r>
      <w:r w:rsidR="008839A0">
        <w:rPr>
          <w:noProof/>
        </w:rPr>
        <w:fldChar w:fldCharType="end"/>
      </w:r>
      <w:bookmarkEnd w:id="0"/>
      <w:r>
        <w:t xml:space="preserve"> - Stirling cycle superposed on the carnot cycle. (Kongtragool &amp; Wongwises, 2003)</w:t>
      </w:r>
    </w:p>
    <w:p w:rsidR="00BA6484" w:rsidRDefault="00BA6484" w:rsidP="00EE0BEB">
      <w:r>
        <w:t xml:space="preserve">In practice, the Stirling cycle does not reach the high efficiencies it is theoretically capable of. </w:t>
      </w:r>
      <w:r w:rsidR="00430198">
        <w:t>Perfect heat transfer is highly</w:t>
      </w:r>
      <w:r>
        <w:t xml:space="preserve"> unrealistic in a rapidly reciprocating engine with physical size limitations. </w:t>
      </w:r>
      <w:r w:rsidR="00F924FA">
        <w:t>The</w:t>
      </w:r>
      <w:r>
        <w:t xml:space="preserve"> regeneration process can </w:t>
      </w:r>
      <w:r w:rsidR="00F924FA">
        <w:t xml:space="preserve">also </w:t>
      </w:r>
      <w:r>
        <w:t xml:space="preserve">never be 100% efficient, and there are additional pressure and mechanical losses throughout the engine. These limitations on efficiency caused Stirling engines to be replaced by alternatives such as internal combustion engines </w:t>
      </w:r>
      <w:r>
        <w:fldChar w:fldCharType="begin" w:fldLock="1"/>
      </w:r>
      <w:r w:rsidR="008839A0">
        <w:instrText>ADDIN CSL_CITATION { "citationItems" : [ { "id" : "ITEM-1", "itemData" : { "ISBN" : "9780071257718", "author" : [ { "dropping-particle" : "", "family" : "\u00c7engel", "given" : "Y A", "non-dropping-particle" : "", "parse-names" : false, "suffix" : "" }, { "dropping-particle" : "", "family" : "Boles", "given" : "M A", "non-dropping-particle" : "", "parse-names" : false, "suffix" : "" } ], "id" : "ITEM-1", "issued" : { "date-parts" : [ [ "2007" ] ] }, "publisher" : "McGraw-Hill Higher Education", "publisher-place" : "New York", "title" : "Thermodynamics: An Engineering Approach, SI Version", "type" : "book" }, "uris" : [ "http://www.mendeley.com/documents/?uuid=1e2a7b78-2741-4e7d-8bea-3c2c38d03deb" ] } ], "mendeley" : { "previouslyFormattedCitation" : "(\u00c7engel &amp; Boles, 2007)" }, "properties" : { "noteIndex" : 0 }, "schema" : "https://github.com/citation-style-language/schema/raw/master/csl-citation.json" }</w:instrText>
      </w:r>
      <w:r>
        <w:fldChar w:fldCharType="separate"/>
      </w:r>
      <w:r w:rsidRPr="008839A0">
        <w:rPr>
          <w:noProof/>
        </w:rPr>
        <w:t>(Çengel &amp; Boles, 2007)</w:t>
      </w:r>
      <w:r>
        <w:fldChar w:fldCharType="end"/>
      </w:r>
      <w:r>
        <w:t>.</w:t>
      </w:r>
    </w:p>
    <w:p w:rsidR="00BA6484" w:rsidRDefault="00BA6484" w:rsidP="00BA6484">
      <w:r>
        <w:t>There is now a renewed interest in Stirling engines, driven by the increased focus on efficiency and sustainability. One of the prime advantages of the Stirling engine is its ability to work with any heat source, as it is an external combustion engine. This opens up possibilitie</w:t>
      </w:r>
      <w:r w:rsidR="00430198">
        <w:t xml:space="preserve">s to burn waste material such as biomass, use waste heat from industrial processes or even solar power </w:t>
      </w:r>
      <w:r w:rsidR="00430198">
        <w:fldChar w:fldCharType="begin" w:fldLock="1"/>
      </w:r>
      <w:r w:rsidR="008839A0">
        <w:instrText>ADDIN CSL_CITATION { "citationItems" : [ { "id" : "ITEM-1", "itemData" : { "DOI" : "10.1016/j.applthermaleng.2011.09.020", "ISSN" : "13594311", "author" : [ { "dropping-particle" : "", "family" : "Li", "given" : "Tie", "non-dropping-particle" : "", "parse-names" : false, "suffix" : "" }, { "dropping-particle" : "", "family" : "Tang", "given" : "DaWei", "non-dropping-particle" : "", "parse-names" : false, "suffix" : "" }, { "dropping-particle" : "", "family" : "Li", "given" : "Zhigang", "non-dropping-particle" : "", "parse-names" : false, "suffix" : "" }, { "dropping-particle" : "", "family" : "Du", "given" : "Jinglong", "non-dropping-particle" : "", "parse-names" : false, "suffix" : "" }, { "dropping-particle" : "", "family" : "Zhou", "given" : "Tian", "non-dropping-particle" : "", "parse-names" : false, "suffix" : "" }, { "dropping-particle" : "", "family" : "Jia", "given" : "Yu", "non-dropping-particle" : "", "parse-names" : false, "suffix" : "" } ], "container-title" : "Applied Thermal Engineering", "id" : "ITEM-1", "issued" : { "date-parts" : [ [ "2012", "2" ] ] }, "page" : "119-123", "publisher" : "Elsevier Ltd", "title" : "Development and test of a Stirling engine driven by waste gases for the micro-CHP system", "type" : "article-journal", "volume" : "33-34" }, "uris" : [ "http://www.mendeley.com/documents/?uuid=c2780808-fe24-4986-88c8-78e39b895401" ] } ], "mendeley" : { "previouslyFormattedCitation" : "(Li et al., 2012)" }, "properties" : { "noteIndex" : 0 }, "schema" : "https://github.com/citation-style-language/schema/raw/master/csl-citation.json" }</w:instrText>
      </w:r>
      <w:r w:rsidR="00430198">
        <w:fldChar w:fldCharType="separate"/>
      </w:r>
      <w:r w:rsidR="00430198" w:rsidRPr="008839A0">
        <w:rPr>
          <w:noProof/>
        </w:rPr>
        <w:t>(Li et al., 2012)</w:t>
      </w:r>
      <w:r w:rsidR="00430198">
        <w:fldChar w:fldCharType="end"/>
      </w:r>
      <w:r w:rsidR="00430198">
        <w:t xml:space="preserve">. </w:t>
      </w:r>
      <w:r>
        <w:t xml:space="preserve">Being an external combustion engine there is also more time for the combustion process, resulting in more complete combustion, releasing more energy with less pollution </w:t>
      </w:r>
      <w:r>
        <w:fldChar w:fldCharType="begin" w:fldLock="1"/>
      </w:r>
      <w:r w:rsidR="008839A0">
        <w:instrText>ADDIN CSL_CITATION { "citationItems" : [ { "id" : "ITEM-1", "itemData" : { "DOI" : "10.1016/S1364-0321(02)00053-9", "ISBN" : "6624709111", "ISSN" : "13640321", "author" : [ { "dropping-particle" : "", "family" : "Kongtragool", "given" : "Bancha", "non-dropping-particle" : "", "parse-names" : false, "suffix" : "" }, { "dropping-particle" : "", "family" : "Wongwises", "given" : "Somchai", "non-dropping-particle" : "", "parse-names" : false, "suffix" : "" } ], "container-title" : "Renewable and Sustainable Energy Reviews", "id" : "ITEM-1", "issue" : "2", "issued" : { "date-parts" : [ [ "2003", "4" ] ] }, "page" : "131-154", "title" : "A review of solar-powered Stirling engines and low temperature differential Stirling engines", "type" : "article-journal", "volume" : "7" }, "uris" : [ "http://www.mendeley.com/documents/?uuid=aed650b5-f8c0-4096-9d8b-70731ced34da" ] } ], "mendeley" : { "previouslyFormattedCitation" : "(Kongtragool &amp; Wongwises, 2003)" }, "properties" : { "noteIndex" : 0 }, "schema" : "https://github.com/citation-style-language/schema/raw/master/csl-citation.json" }</w:instrText>
      </w:r>
      <w:r>
        <w:fldChar w:fldCharType="separate"/>
      </w:r>
      <w:r w:rsidRPr="008839A0">
        <w:rPr>
          <w:noProof/>
        </w:rPr>
        <w:t>(Kongtragool &amp; Wongwises, 2003)</w:t>
      </w:r>
      <w:r>
        <w:fldChar w:fldCharType="end"/>
      </w:r>
      <w:r>
        <w:t>. An additional advantage of the Stirling cycle is its low noise produced compared to internal combustion engines. This makes Stirling engines a good candidate for use in small scale c</w:t>
      </w:r>
      <w:r w:rsidR="00430198">
        <w:t xml:space="preserve">ombined heat and power systems </w:t>
      </w:r>
      <w:r>
        <w:t xml:space="preserve">situated in </w:t>
      </w:r>
      <w:r>
        <w:lastRenderedPageBreak/>
        <w:t xml:space="preserve">residential areas. Any </w:t>
      </w:r>
      <w:r w:rsidR="00430198">
        <w:t>waste heat from</w:t>
      </w:r>
      <w:r>
        <w:t xml:space="preserve"> the engine is used to supply h</w:t>
      </w:r>
      <w:r w:rsidR="00430198">
        <w:t>ot water</w:t>
      </w:r>
      <w:r>
        <w:t xml:space="preserve">, giving a very good overall energy utilisation </w:t>
      </w:r>
      <w:r>
        <w:fldChar w:fldCharType="begin" w:fldLock="1"/>
      </w:r>
      <w:r w:rsidR="008839A0">
        <w:instrText>ADDIN CSL_CITATION { "citationItems" : [ { "id" : "ITEM-1", "itemData" : { "DOI" : "10.1016/j.applthermaleng.2011.09.020", "ISSN" : "13594311", "author" : [ { "dropping-particle" : "", "family" : "Li", "given" : "Tie", "non-dropping-particle" : "", "parse-names" : false, "suffix" : "" }, { "dropping-particle" : "", "family" : "Tang", "given" : "DaWei", "non-dropping-particle" : "", "parse-names" : false, "suffix" : "" }, { "dropping-particle" : "", "family" : "Li", "given" : "Zhigang", "non-dropping-particle" : "", "parse-names" : false, "suffix" : "" }, { "dropping-particle" : "", "family" : "Du", "given" : "Jinglong", "non-dropping-particle" : "", "parse-names" : false, "suffix" : "" }, { "dropping-particle" : "", "family" : "Zhou", "given" : "Tian", "non-dropping-particle" : "", "parse-names" : false, "suffix" : "" }, { "dropping-particle" : "", "family" : "Jia", "given" : "Yu", "non-dropping-particle" : "", "parse-names" : false, "suffix" : "" } ], "container-title" : "Applied Thermal Engineering", "id" : "ITEM-1", "issued" : { "date-parts" : [ [ "2012", "2" ] ] }, "page" : "119-123", "publisher" : "Elsevier Ltd", "title" : "Development and test of a Stirling engine driven by waste gases for the micro-CHP system", "type" : "article-journal", "volume" : "33-34" }, "uris" : [ "http://www.mendeley.com/documents/?uuid=c2780808-fe24-4986-88c8-78e39b895401" ] } ], "mendeley" : { "previouslyFormattedCitation" : "(Li et al., 2012)" }, "properties" : { "noteIndex" : 0 }, "schema" : "https://github.com/citation-style-language/schema/raw/master/csl-citation.json" }</w:instrText>
      </w:r>
      <w:r>
        <w:fldChar w:fldCharType="separate"/>
      </w:r>
      <w:r w:rsidRPr="008839A0">
        <w:rPr>
          <w:noProof/>
        </w:rPr>
        <w:t>(Li et al., 2012)</w:t>
      </w:r>
      <w:r>
        <w:fldChar w:fldCharType="end"/>
      </w:r>
      <w:r>
        <w:t>.</w:t>
      </w:r>
    </w:p>
    <w:p w:rsidR="00BA6484" w:rsidRDefault="00BA6484" w:rsidP="00BA6484">
      <w:r>
        <w:t>There are three main types of mechanical implementation to convert heat into mechanical energy using the Stirling cycle</w:t>
      </w:r>
      <w:r w:rsidR="00A029FA">
        <w:t xml:space="preserve"> (</w:t>
      </w:r>
      <w:r w:rsidR="00A029FA">
        <w:fldChar w:fldCharType="begin"/>
      </w:r>
      <w:r w:rsidR="00A029FA">
        <w:instrText xml:space="preserve"> REF _Ref370384570 \h </w:instrText>
      </w:r>
      <w:r w:rsidR="00A029FA">
        <w:fldChar w:fldCharType="separate"/>
      </w:r>
      <w:r w:rsidR="00A029FA">
        <w:t xml:space="preserve">Figure </w:t>
      </w:r>
      <w:r w:rsidR="00A029FA">
        <w:rPr>
          <w:noProof/>
        </w:rPr>
        <w:t>2</w:t>
      </w:r>
      <w:r w:rsidR="00A029FA">
        <w:fldChar w:fldCharType="end"/>
      </w:r>
      <w:r w:rsidR="00A029FA">
        <w:t>)</w:t>
      </w:r>
      <w:r>
        <w:t xml:space="preserve">. The alpha layout uses two cylinders which alternately compress the gas in the cold space, move it through the regenerator into the hot space where it is then expanded. The beta and gamma layout both use a single piston for expansion and compression, with a displacer to move the gas </w:t>
      </w:r>
      <w:r w:rsidR="00A029FA">
        <w:t>between</w:t>
      </w:r>
      <w:r>
        <w:t xml:space="preserve"> the hot to t</w:t>
      </w:r>
      <w:r w:rsidR="00A029FA">
        <w:t xml:space="preserve">he cold side of the engine </w:t>
      </w:r>
      <w:r>
        <w:fldChar w:fldCharType="begin" w:fldLock="1"/>
      </w:r>
      <w:r w:rsidR="008839A0">
        <w:instrText>ADDIN CSL_CITATION { "citationItems" : [ { "id" : "ITEM-1", "itemData" : { "DOI" : "10.1016/S1364-0321(02)00053-9", "ISBN" : "6624709111", "ISSN" : "13640321", "author" : [ { "dropping-particle" : "", "family" : "Kongtragool", "given" : "Bancha", "non-dropping-particle" : "", "parse-names" : false, "suffix" : "" }, { "dropping-particle" : "", "family" : "Wongwises", "given" : "Somchai", "non-dropping-particle" : "", "parse-names" : false, "suffix" : "" } ], "container-title" : "Renewable and Sustainable Energy Reviews", "id" : "ITEM-1", "issue" : "2", "issued" : { "date-parts" : [ [ "2003", "4" ] ] }, "page" : "131-154", "title" : "A review of solar-powered Stirling engines and low temperature differential Stirling engines", "type" : "article-journal", "volume" : "7" }, "uris" : [ "http://www.mendeley.com/documents/?uuid=aed650b5-f8c0-4096-9d8b-70731ced34da" ] } ], "mendeley" : { "previouslyFormattedCitation" : "(Kongtragool &amp; Wongwises, 2003)" }, "properties" : { "noteIndex" : 0 }, "schema" : "https://github.com/citation-style-language/schema/raw/master/csl-citation.json" }</w:instrText>
      </w:r>
      <w:r>
        <w:fldChar w:fldCharType="separate"/>
      </w:r>
      <w:r w:rsidRPr="008839A0">
        <w:rPr>
          <w:noProof/>
        </w:rPr>
        <w:t>(Kongtragool &amp; Wongwises, 2003)</w:t>
      </w:r>
      <w:r>
        <w:fldChar w:fldCharType="end"/>
      </w:r>
      <w:r>
        <w:t>. There are many variations on these basic layouts, ranging from coupling multiple engines together, to completely novel implementations.</w:t>
      </w:r>
    </w:p>
    <w:p w:rsidR="00A029FA" w:rsidRDefault="00A029FA" w:rsidP="00A029FA">
      <w:pPr>
        <w:keepNext/>
      </w:pPr>
      <w:r>
        <w:rPr>
          <w:noProof/>
          <w:lang w:eastAsia="en-NZ"/>
        </w:rPr>
        <w:drawing>
          <wp:inline distT="0" distB="0" distL="0" distR="0" wp14:anchorId="52CA73B9" wp14:editId="3BC65E05">
            <wp:extent cx="3581400" cy="161174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gtragool.png"/>
                    <pic:cNvPicPr/>
                  </pic:nvPicPr>
                  <pic:blipFill>
                    <a:blip r:embed="rId12">
                      <a:extLst>
                        <a:ext uri="{28A0092B-C50C-407E-A947-70E740481C1C}">
                          <a14:useLocalDpi xmlns:a14="http://schemas.microsoft.com/office/drawing/2010/main" val="0"/>
                        </a:ext>
                      </a:extLst>
                    </a:blip>
                    <a:stretch>
                      <a:fillRect/>
                    </a:stretch>
                  </pic:blipFill>
                  <pic:spPr>
                    <a:xfrm>
                      <a:off x="0" y="0"/>
                      <a:ext cx="3582836" cy="1612395"/>
                    </a:xfrm>
                    <a:prstGeom prst="rect">
                      <a:avLst/>
                    </a:prstGeom>
                  </pic:spPr>
                </pic:pic>
              </a:graphicData>
            </a:graphic>
          </wp:inline>
        </w:drawing>
      </w:r>
    </w:p>
    <w:p w:rsidR="00A029FA" w:rsidRDefault="00A029FA" w:rsidP="00A029FA">
      <w:pPr>
        <w:pStyle w:val="Caption"/>
      </w:pPr>
      <w:bookmarkStart w:id="1" w:name="_Ref370384570"/>
      <w:r>
        <w:t xml:space="preserve">Figure </w:t>
      </w:r>
      <w:r w:rsidR="008839A0">
        <w:fldChar w:fldCharType="begin"/>
      </w:r>
      <w:r w:rsidR="008839A0">
        <w:instrText xml:space="preserve"> SEQ Figure \* ARABIC </w:instrText>
      </w:r>
      <w:r w:rsidR="008839A0">
        <w:fldChar w:fldCharType="separate"/>
      </w:r>
      <w:r>
        <w:rPr>
          <w:noProof/>
        </w:rPr>
        <w:t>2</w:t>
      </w:r>
      <w:r w:rsidR="008839A0">
        <w:rPr>
          <w:noProof/>
        </w:rPr>
        <w:fldChar w:fldCharType="end"/>
      </w:r>
      <w:bookmarkEnd w:id="1"/>
      <w:r>
        <w:t xml:space="preserve"> - Alpha, Beta and Gamma Stirling engine configurations </w:t>
      </w:r>
      <w:r>
        <w:fldChar w:fldCharType="begin" w:fldLock="1"/>
      </w:r>
      <w:r w:rsidR="008839A0">
        <w:instrText>ADDIN CSL_CITATION { "citationItems" : [ { "id" : "ITEM-1", "itemData" : { "DOI" : "10.1016/S1364-0321(02)00053-9", "ISBN" : "6624709111", "ISSN" : "13640321", "author" : [ { "dropping-particle" : "", "family" : "Kongtragool", "given" : "Bancha", "non-dropping-particle" : "", "parse-names" : false, "suffix" : "" }, { "dropping-particle" : "", "family" : "Wongwises", "given" : "Somchai", "non-dropping-particle" : "", "parse-names" : false, "suffix" : "" } ], "container-title" : "Renewable and Sustainable Energy Reviews", "id" : "ITEM-1", "issue" : "2", "issued" : { "date-parts" : [ [ "2003", "4" ] ] }, "page" : "131-154", "title" : "A review of solar-powered Stirling engines and low temperature differential Stirling engines", "type" : "article-journal", "volume" : "7" }, "uris" : [ "http://www.mendeley.com/documents/?uuid=aed650b5-f8c0-4096-9d8b-70731ced34da" ] } ], "mendeley" : { "previouslyFormattedCitation" : "(Kongtragool &amp; Wongwises, 2003)" }, "properties" : { "noteIndex" : 0 }, "schema" : "https://github.com/citation-style-language/schema/raw/master/csl-citation.json" }</w:instrText>
      </w:r>
      <w:r>
        <w:fldChar w:fldCharType="separate"/>
      </w:r>
      <w:r w:rsidRPr="008839A0">
        <w:rPr>
          <w:b w:val="0"/>
          <w:noProof/>
        </w:rPr>
        <w:t>(Kongtragool &amp; Wongwises, 2003)</w:t>
      </w:r>
      <w:r>
        <w:fldChar w:fldCharType="end"/>
      </w:r>
    </w:p>
    <w:p w:rsidR="00641456" w:rsidRDefault="00641456" w:rsidP="00641456">
      <w:pPr>
        <w:pStyle w:val="Heading2"/>
      </w:pPr>
      <w:r>
        <w:t>Design Methods</w:t>
      </w:r>
    </w:p>
    <w:p w:rsidR="00EA27C9" w:rsidRDefault="00B7484C" w:rsidP="00B7484C">
      <w:r>
        <w:t xml:space="preserve">Martini divides Stirling engine design methods into first, second and third-order design methods </w:t>
      </w:r>
      <w:r w:rsidR="00641456">
        <w:fldChar w:fldCharType="begin" w:fldLock="1"/>
      </w:r>
      <w:r w:rsidR="008839A0">
        <w:instrText>ADDIN CSL_CITATION { "citationItems" : [ { "id" : "ITEM-1", "itemData" : { "author" : [ { "dropping-particle" : "", "family" : "Martini", "given" : "William R.", "non-dropping-particle" : "", "parse-names" : false, "suffix" : "" } ], "edition" : "2", "id" : "ITEM-1", "issued" : { "date-parts" : [ [ "1983" ] ] }, "note" : "Over 600 references. Very good explanations of the various methodologies of simulating engine performance and approaching design process.", "publisher" : "National Aeronautics and Space Administration", "title" : "Stirling Engine Design Manual", "type" : "book" }, "uris" : [ "http://www.mendeley.com/documents/?uuid=3c18b746-58ae-4b70-a489-56c6ba72b22f" ] } ], "mendeley" : { "previouslyFormattedCitation" : "(Martini, 1983)" }, "properties" : { "noteIndex" : 0 }, "schema" : "https://github.com/citation-style-language/schema/raw/master/csl-citation.json" }</w:instrText>
      </w:r>
      <w:r w:rsidR="00641456">
        <w:fldChar w:fldCharType="separate"/>
      </w:r>
      <w:r w:rsidR="00641456" w:rsidRPr="008839A0">
        <w:rPr>
          <w:noProof/>
        </w:rPr>
        <w:t>(Martini, 1983)</w:t>
      </w:r>
      <w:r w:rsidR="00641456">
        <w:fldChar w:fldCharType="end"/>
      </w:r>
      <w:r w:rsidR="00641456">
        <w:t xml:space="preserve">. </w:t>
      </w:r>
      <w:r>
        <w:t>First-order design methods are used to get a rough estimate for a particular engine’s capability, based on existing engine desi</w:t>
      </w:r>
      <w:r w:rsidR="00EA27C9">
        <w:t>gns. This will therefore never lead to a much improved engine design.</w:t>
      </w:r>
    </w:p>
    <w:p w:rsidR="00EA27C9" w:rsidRDefault="00EA27C9" w:rsidP="00EA27C9">
      <w:r>
        <w:t xml:space="preserve">Third-order analysis is the so-called “nodal analysis”. </w:t>
      </w:r>
      <w:r w:rsidR="00641456">
        <w:t>A</w:t>
      </w:r>
      <w:r>
        <w:t xml:space="preserve"> computer program is used to solve the basic equations of equilibrium for heat, mass and momentum across a large number of nodes in the engine. This approach has been successfully applied to a low temperature differential Stirling engine</w:t>
      </w:r>
      <w:r w:rsidR="00641456">
        <w:t xml:space="preserve"> using COMSOL Multi-physics</w:t>
      </w:r>
      <w:r>
        <w:t xml:space="preserve"> </w:t>
      </w:r>
      <w:r w:rsidR="00641456">
        <w:fldChar w:fldCharType="begin" w:fldLock="1"/>
      </w:r>
      <w:r w:rsidR="008839A0">
        <w:instrText>ADDIN CSL_CITATION { "citationItems" : [ { "id" : "ITEM-1", "itemData" : { "author" : [ { "dropping-particle" : "", "family" : "Martaj", "given" : "N", "non-dropping-particle" : "", "parse-names" : false, "suffix" : "" }, { "dropping-particle" : "", "family" : "Rochelle", "given" : "P", "non-dropping-particle" : "", "parse-names" : false, "suffix" : "" }, { "dropping-particle" : "", "family" : "Grosu", "given" : "L", "non-dropping-particle" : "", "parse-names" : false, "suffix" : "" }, { "dropping-particle" : "", "family" : "Bennacer", "given" : "R", "non-dropping-particle" : "", "parse-names" : false, "suffix" : "" }, { "dropping-particle" : "", "family" : "Savarese", "given" : "S", "non-dropping-particle" : "", "parse-names" : false, "suffix" : "" } ], "container-title" : "Comsol Conference 2007", "id" : "ITEM-1", "issued" : { "date-parts" : [ [ "2007" ] ] }, "note" : "Expensive code for numerical simulation of multi-physics (basically any system of partial differential equations).", "page" : "2007", "publisher-place" : "Grenoble, France", "title" : "STIRLING ENGINE SIMULATION : NON - ISOTHERMAL FLOW / STRUCTURE INTERACTION", "type" : "paper-conference" }, "uris" : [ "http://www.mendeley.com/documents/?uuid=586c21c2-bc30-4ce9-8fc1-a23bafc73ab6" ] } ], "mendeley" : { "previouslyFormattedCitation" : "(Martaj, Rochelle, Grosu, Bennacer, &amp; Savarese, 2007)" }, "properties" : { "noteIndex" : 0 }, "schema" : "https://github.com/citation-style-language/schema/raw/master/csl-citation.json" }</w:instrText>
      </w:r>
      <w:r w:rsidR="00641456">
        <w:fldChar w:fldCharType="separate"/>
      </w:r>
      <w:r w:rsidR="00641456" w:rsidRPr="008839A0">
        <w:rPr>
          <w:noProof/>
        </w:rPr>
        <w:t>(Martaj, Rochelle, Grosu, Bennacer, &amp; Savarese, 2007)</w:t>
      </w:r>
      <w:r w:rsidR="00641456">
        <w:fldChar w:fldCharType="end"/>
      </w:r>
      <w:r>
        <w:t xml:space="preserve">. </w:t>
      </w:r>
      <w:r w:rsidR="00641456">
        <w:t>A 3D computation fluid dynamics model in FLUENT has also been used to opt</w:t>
      </w:r>
      <w:r w:rsidR="008839A0">
        <w:t xml:space="preserve">imise a biomass Stirling engine </w:t>
      </w:r>
      <w:r w:rsidR="008839A0">
        <w:fldChar w:fldCharType="begin" w:fldLock="1"/>
      </w:r>
      <w:r w:rsidR="008839A0">
        <w:instrText>ADDIN CSL_CITATION { "citationItems" : [ { "id" : "ITEM-1", "itemData" : { "DOI" : "10.1115/1.2213273", "ISSN" : "01950738", "author" : [ { "dropping-particle" : "", "family" : "Mahkamov", "given" : "K.", "non-dropping-particle" : "", "parse-names" : false, "suffix" : "" } ], "container-title" : "Journal of Energy Resources Technology", "id" : "ITEM-1", "issue" : "3", "issued" : { "date-parts" : [ [ "2006" ] ] }, "note" : "Use second-order 5 control volume model, together with CFD, to to recommend how to improve the engine.", "page" : "203", "title" : "Design Improvements to a Biomass Stirling Engine Using Mathematical Analysis and 3D CFD Modeling", "type" : "article-journal", "volume" : "128" }, "uris" : [ "http://www.mendeley.com/documents/?uuid=aa5b7c0f-b94c-4e03-a726-c5caf3522c7b" ] } ], "mendeley" : { "previouslyFormattedCitation" : "(Mahkamov, 2006)" }, "properties" : { "noteIndex" : 0 }, "schema" : "https://github.com/citation-style-language/schema/raw/master/csl-citation.json" }</w:instrText>
      </w:r>
      <w:r w:rsidR="008839A0">
        <w:fldChar w:fldCharType="separate"/>
      </w:r>
      <w:r w:rsidR="008839A0" w:rsidRPr="008839A0">
        <w:rPr>
          <w:noProof/>
        </w:rPr>
        <w:t>(Mahkamov, 2006)</w:t>
      </w:r>
      <w:r w:rsidR="008839A0">
        <w:fldChar w:fldCharType="end"/>
      </w:r>
      <w:r w:rsidR="00641456">
        <w:t xml:space="preserve">. Measurements taken on the </w:t>
      </w:r>
      <w:r w:rsidR="008839A0">
        <w:t xml:space="preserve">real </w:t>
      </w:r>
      <w:r w:rsidR="00641456">
        <w:t>engine were used to tune the parameters used in the model.</w:t>
      </w:r>
      <w:r w:rsidR="008839A0">
        <w:t xml:space="preserve"> Although potentially accurate, this is a complex and time-consuming method of simulation.</w:t>
      </w:r>
    </w:p>
    <w:p w:rsidR="00EA27C9" w:rsidRDefault="008839A0" w:rsidP="00B7484C">
      <w:r>
        <w:t>Finally, s</w:t>
      </w:r>
      <w:r w:rsidR="00B7484C">
        <w:t>econd-order design methods take into account all aspect</w:t>
      </w:r>
      <w:r>
        <w:t>s of a real engines performance</w:t>
      </w:r>
      <w:r w:rsidR="00B7484C">
        <w:t xml:space="preserve"> but apply simplifications to ease the equations to be solved. These simplifications include assuming that that power losses can be determined using simple formulas and do not interact with other processes. A similar assu</w:t>
      </w:r>
      <w:r>
        <w:t>mption is made for heat losses. Variations of the approach include the Schmidt method, adiabatic analysis and “simple analysis”. Here i</w:t>
      </w:r>
      <w:r>
        <w:t>rreversibilities are subtracted from the theoretical adiabatic cycle</w:t>
      </w:r>
      <w:r>
        <w:t xml:space="preserve"> </w:t>
      </w:r>
      <w:r>
        <w:fldChar w:fldCharType="begin" w:fldLock="1"/>
      </w:r>
      <w:r w:rsidRPr="008839A0">
        <w:instrText>ADDIN CSL_CITATION { "citationItems" : [ { "id" : "ITEM-1", "itemData" : { "author" : [ { "dropping-particle" : "", "family" : "Martini", "given" : "William R.", "non-dropping-particle" : "", "parse-names" : false, "suffix" : "" } ], "edition" : "2", "id" : "ITEM-1", "issued" : { "date-parts" : [ [ "1983" ] ] }, "note" : "Over 600 references. Very good explanations of the various methodologies of simulating engine performance and approaching design process.", "publisher" : "National Aeronautics and Space Administration", "title" : "Stirling Engine Design Manual", "type" : "book" }, "uris" : [ "http://www.mendeley.com/documents/?uuid=3c18b746-58ae-4b70-a489-56c6ba72b22f" ] } ], "mendeley" : { "previouslyFormattedCitation" : "(Martini, 1983)" }, "properties" : { "noteIndex" : 0 }, "schema" : "https://github.com/citation-style-language/schema/raw/master/csl-citation.json" }</w:instrText>
      </w:r>
      <w:r>
        <w:fldChar w:fldCharType="separate"/>
      </w:r>
      <w:r w:rsidRPr="008839A0">
        <w:rPr>
          <w:noProof/>
        </w:rPr>
        <w:t>(Martini, 1983)</w:t>
      </w:r>
      <w:r>
        <w:fldChar w:fldCharType="end"/>
      </w:r>
      <w:r>
        <w:t>.</w:t>
      </w:r>
    </w:p>
    <w:p w:rsidR="008839A0" w:rsidRDefault="008839A0" w:rsidP="008839A0">
      <w:r>
        <w:t xml:space="preserve">A comparison has been made between the Schmidt method, adiabatic analysis and simple analysis </w:t>
      </w:r>
      <w:r>
        <w:fldChar w:fldCharType="begin" w:fldLock="1"/>
      </w:r>
      <w:r w:rsidRPr="0077387E">
        <w:instrText>ADDIN CSL_CITATION { "citationItems" : [ { "id" : "ITEM-1", "itemData" : { "author" : [ { "dropping-particle" : "", "family" : "Snyman", "given" : "H", "non-dropping-particle" : "", "parse-names" : false, "suffix" : "" }, { "dropping-particle" : "", "family" : "Harms", "given" : "T. M.", "non-dropping-particle" : "", "parse-names" : false, "suffix" : "" }, { "dropping-particle" : "", "family" : "Strauss", "given" : "J. M.", "non-dropping-particle" : "", "parse-names" : false, "suffix" : "" } ], "container-title" : "Journal of Energy in Southern Africa", "id" : "ITEM-1", "issue" : "3", "issued" : { "date-parts" : [ [ "2008" ] ] }, "note" : "Compared three design methods to experimental measurements\n        \nThey conclude that simple analysis is the best tool for initial design and analysis\n        \nSIMPLE ANAlysis still needs you to calculate the effectiveness of the heat exchangers in order to get a good approximation.", "page" : "4-19", "title" : "Design analysis methods for Stirling engines", "type" : "article-journal", "volume" : "19" }, "uris" : [ "http://www.mendeley.com/documents/?uuid=01e1b205-6547-4f25-a4c0-ff977d8a3aa6" ] } ], "mendeley" : { "previouslyFormattedCitation" : "(Snyman, Harms, &amp; Strauss, 2008)" }, "properties" : { "noteIndex" : 0 }, "schema" : "https://github.com/citation-style-language/schema/raw/master/csl-citation.json" }</w:instrText>
      </w:r>
      <w:r>
        <w:fldChar w:fldCharType="separate"/>
      </w:r>
      <w:r w:rsidRPr="00F816BD">
        <w:rPr>
          <w:noProof/>
        </w:rPr>
        <w:t>(Snyman, Harms, &amp; Strauss, 2008)</w:t>
      </w:r>
      <w:r>
        <w:fldChar w:fldCharType="end"/>
      </w:r>
      <w:r>
        <w:t>. The results were compared to experimental measurements taken on a Heinrici Stirling engine. It was concluded that simple analysis in particular is suitable as an initial design and analysis tool for Stirling engines.</w:t>
      </w:r>
    </w:p>
    <w:p w:rsidR="00B7484C" w:rsidRDefault="00B7484C" w:rsidP="00BA6484"/>
    <w:p w:rsidR="00430198" w:rsidRDefault="00430198" w:rsidP="00430198">
      <w:pPr>
        <w:pStyle w:val="Heading2"/>
      </w:pPr>
      <w:r>
        <w:t>The Sharp Engine</w:t>
      </w:r>
    </w:p>
    <w:p w:rsidR="00B0107D" w:rsidRDefault="00653F65" w:rsidP="00BA6484">
      <w:r>
        <w:t xml:space="preserve">One such novel implementation is the focus of this research. It is a design made by Rodney Sharp, a Stirling engine enthusiast. </w:t>
      </w:r>
      <w:r w:rsidR="00DC2B3A">
        <w:t xml:space="preserve">The </w:t>
      </w:r>
      <w:r w:rsidR="008839A0">
        <w:t>Sharp engine</w:t>
      </w:r>
      <w:bookmarkStart w:id="2" w:name="_GoBack"/>
      <w:bookmarkEnd w:id="2"/>
      <w:r w:rsidR="00DC2B3A">
        <w:t xml:space="preserve"> </w:t>
      </w:r>
      <w:r>
        <w:t>is a Siamese design, where the power piston is shared by two expansion spaces. Claimed benefits of this design include:</w:t>
      </w:r>
    </w:p>
    <w:p w:rsidR="00653F65" w:rsidRDefault="00653F65" w:rsidP="00653F65">
      <w:pPr>
        <w:pStyle w:val="ListParagraph"/>
        <w:numPr>
          <w:ilvl w:val="0"/>
          <w:numId w:val="2"/>
        </w:numPr>
      </w:pPr>
      <w:r>
        <w:t>Greater surface area for heat transfer</w:t>
      </w:r>
    </w:p>
    <w:p w:rsidR="005F79F5" w:rsidRDefault="005F79F5" w:rsidP="00653F65">
      <w:pPr>
        <w:pStyle w:val="ListParagraph"/>
        <w:numPr>
          <w:ilvl w:val="0"/>
          <w:numId w:val="2"/>
        </w:numPr>
      </w:pPr>
      <w:r>
        <w:t>Higher temperature design</w:t>
      </w:r>
    </w:p>
    <w:p w:rsidR="00653F65" w:rsidRDefault="00653F65" w:rsidP="00653F65">
      <w:pPr>
        <w:pStyle w:val="ListParagraph"/>
        <w:numPr>
          <w:ilvl w:val="0"/>
          <w:numId w:val="2"/>
        </w:numPr>
      </w:pPr>
      <w:r>
        <w:t>High compression ratio</w:t>
      </w:r>
    </w:p>
    <w:p w:rsidR="00653F65" w:rsidRDefault="00653F65" w:rsidP="00653F65">
      <w:pPr>
        <w:pStyle w:val="ListParagraph"/>
        <w:numPr>
          <w:ilvl w:val="0"/>
          <w:numId w:val="2"/>
        </w:numPr>
      </w:pPr>
      <w:r>
        <w:t>Direct conversion of pressure to rotational motion</w:t>
      </w:r>
    </w:p>
    <w:p w:rsidR="00653F65" w:rsidRDefault="0024379D" w:rsidP="00653F65">
      <w:pPr>
        <w:pStyle w:val="ListParagraph"/>
        <w:numPr>
          <w:ilvl w:val="0"/>
          <w:numId w:val="2"/>
        </w:numPr>
      </w:pPr>
      <w:r>
        <w:t>Displacer does not enter cold zone, reducing heat shuttling</w:t>
      </w:r>
    </w:p>
    <w:p w:rsidR="0024379D" w:rsidRDefault="0024379D" w:rsidP="00653F65">
      <w:pPr>
        <w:pStyle w:val="ListParagraph"/>
        <w:numPr>
          <w:ilvl w:val="0"/>
          <w:numId w:val="2"/>
        </w:numPr>
      </w:pPr>
      <w:r>
        <w:t>Increased cooling ability</w:t>
      </w:r>
    </w:p>
    <w:p w:rsidR="008E1323" w:rsidRDefault="0024379D" w:rsidP="00BA6484">
      <w:r>
        <w:t>The unique design features which enable these benefits are:</w:t>
      </w:r>
    </w:p>
    <w:p w:rsidR="0024379D" w:rsidRDefault="0024379D" w:rsidP="0024379D">
      <w:pPr>
        <w:pStyle w:val="ListParagraph"/>
        <w:numPr>
          <w:ilvl w:val="0"/>
          <w:numId w:val="3"/>
        </w:numPr>
      </w:pPr>
      <w:r>
        <w:lastRenderedPageBreak/>
        <w:t>Siamese design using common heat source</w:t>
      </w:r>
    </w:p>
    <w:p w:rsidR="0024379D" w:rsidRDefault="0024379D" w:rsidP="0024379D">
      <w:pPr>
        <w:pStyle w:val="ListParagraph"/>
        <w:numPr>
          <w:ilvl w:val="0"/>
          <w:numId w:val="3"/>
        </w:numPr>
      </w:pPr>
      <w:r>
        <w:t>Timed exhaust port to the cold zone</w:t>
      </w:r>
    </w:p>
    <w:p w:rsidR="0024379D" w:rsidRDefault="0024379D" w:rsidP="0024379D">
      <w:pPr>
        <w:pStyle w:val="ListParagraph"/>
        <w:numPr>
          <w:ilvl w:val="0"/>
          <w:numId w:val="3"/>
        </w:numPr>
      </w:pPr>
      <w:r>
        <w:t>Physical means of drawing working fluid through the cold zone</w:t>
      </w:r>
    </w:p>
    <w:p w:rsidR="0024379D" w:rsidRDefault="0024379D" w:rsidP="0024379D">
      <w:pPr>
        <w:pStyle w:val="ListParagraph"/>
        <w:numPr>
          <w:ilvl w:val="0"/>
          <w:numId w:val="3"/>
        </w:numPr>
      </w:pPr>
      <w:r>
        <w:t>Physical separation between hot and cold source during heating and expansion</w:t>
      </w:r>
    </w:p>
    <w:p w:rsidR="0024379D" w:rsidRDefault="0024379D" w:rsidP="0024379D">
      <w:pPr>
        <w:pStyle w:val="ListParagraph"/>
        <w:numPr>
          <w:ilvl w:val="0"/>
          <w:numId w:val="3"/>
        </w:numPr>
      </w:pPr>
      <w:r>
        <w:t>Combined displacer / regenerator</w:t>
      </w:r>
    </w:p>
    <w:p w:rsidR="0024379D" w:rsidRDefault="0024379D" w:rsidP="0024379D">
      <w:pPr>
        <w:pStyle w:val="ListParagraph"/>
        <w:numPr>
          <w:ilvl w:val="0"/>
          <w:numId w:val="3"/>
        </w:numPr>
      </w:pPr>
      <w:r>
        <w:t>Displacer becomes an extension of the hot zone</w:t>
      </w:r>
    </w:p>
    <w:p w:rsidR="0024379D" w:rsidRDefault="0024379D" w:rsidP="0024379D">
      <w:r>
        <w:t>While reviewing the functioning of the model one obvious flaw was discovered in its functioning. By having the displacer/regenerator</w:t>
      </w:r>
      <w:r w:rsidR="005F79F5">
        <w:t xml:space="preserve"> as</w:t>
      </w:r>
      <w:r>
        <w:t xml:space="preserve"> a</w:t>
      </w:r>
      <w:r w:rsidR="005F79F5">
        <w:t>n</w:t>
      </w:r>
      <w:r>
        <w:t xml:space="preserve"> </w:t>
      </w:r>
      <w:r w:rsidR="005F79F5">
        <w:t>extension</w:t>
      </w:r>
      <w:r>
        <w:t xml:space="preserve"> of the hot zone, it no lon</w:t>
      </w:r>
      <w:r w:rsidR="005F79F5">
        <w:t xml:space="preserve">ger regenerates </w:t>
      </w:r>
      <w:r>
        <w:t xml:space="preserve">effectively as it loses the capacity to cool the working fluid as it passes through after expansion. All further analysis </w:t>
      </w:r>
      <w:r w:rsidR="005F79F5">
        <w:t xml:space="preserve">was </w:t>
      </w:r>
      <w:r>
        <w:t>therefore done assuming this feature of the design is not implemented.</w:t>
      </w:r>
    </w:p>
    <w:p w:rsidR="005F79F5" w:rsidRDefault="005F79F5" w:rsidP="0024379D">
      <w:r>
        <w:t>The hot side heat exchanger also did not have a greater surface area compared to most conventional power producing Stirling engines, although it was improved compared to smaller model engines. To offset this, the design enabled the use of exotic materials which could withstand higher temperatures. This increases the Carnot efficiency, potentially providing a net benefit in power and efficiency compared to a lower temperature heat exchanger with greater area.</w:t>
      </w:r>
    </w:p>
    <w:p w:rsidR="005F79F5" w:rsidRDefault="005F79F5" w:rsidP="0024379D">
      <w:r>
        <w:t>The major way in which the design deviates from the conventional Stirling cycle is through the timed exhaust port. As a result of this feature, compression does not act on all the w</w:t>
      </w:r>
      <w:r w:rsidR="00EC7BEC">
        <w:t xml:space="preserve">orking fluid inside the </w:t>
      </w:r>
      <w:r w:rsidR="004504A9">
        <w:t>engine</w:t>
      </w:r>
      <w:r w:rsidR="00EC7BEC">
        <w:t xml:space="preserve"> and the pressure inside the engine (neglecting pressure drops) is not the same at all times, as in a normal Stirling engine.</w:t>
      </w:r>
    </w:p>
    <w:p w:rsidR="00EC7BEC" w:rsidRDefault="00EC7BEC" w:rsidP="0024379D">
      <w:r>
        <w:t>The two research questions were therefore, what is the effect of the smaller hotter heat source, and what is the effect of the additional volume in the engine.</w:t>
      </w:r>
    </w:p>
    <w:p w:rsidR="002C1061" w:rsidRDefault="008A107C" w:rsidP="002C1061">
      <w:pPr>
        <w:pStyle w:val="Heading1"/>
      </w:pPr>
      <w:r>
        <w:t>Model</w:t>
      </w:r>
    </w:p>
    <w:p w:rsidR="002C1061" w:rsidRDefault="008A107C" w:rsidP="002C1061">
      <w:r>
        <w:t xml:space="preserve">The model used was developed by </w:t>
      </w:r>
      <w:r w:rsidR="00653F65">
        <w:t xml:space="preserve">Urieli and Berkowitch </w:t>
      </w:r>
      <w:r w:rsidR="00653F65">
        <w:fldChar w:fldCharType="begin" w:fldLock="1"/>
      </w:r>
      <w:r w:rsidR="008839A0">
        <w:instrText>ADDIN CSL_CITATION { "citationItems" : [ { "id" : "ITEM-1", "itemData" : { "author" : [ { "dropping-particle" : "", "family" : "Urieli", "given" : "I", "non-dropping-particle" : "", "parse-names" : false, "suffix" : "" }, { "dropping-particle" : "", "family" : "Berchowitz", "given" : "D M", "non-dropping-particle" : "", "parse-names" : false, "suffix" : "" } ], "id" : "ITEM-1", "issued" : { "date-parts" : [ [ "1984" ] ] }, "publisher" : "A. Hilger", "publisher-place" : "Ann Arbor", "title" : "Stirling Cycle Engine Analysis", "type" : "book" }, "uris" : [ "http://www.mendeley.com/documents/?uuid=635824e1-534c-47e9-b3a7-0fcb6f9203cc" ] } ], "mendeley" : { "previouslyFormattedCitation" : "(Urieli &amp; Berchowitz, 1984)" }, "properties" : { "noteIndex" : 0 }, "schema" : "https://github.com/citation-style-language/schema/raw/master/csl-citation.json" }</w:instrText>
      </w:r>
      <w:r w:rsidR="00653F65">
        <w:fldChar w:fldCharType="separate"/>
      </w:r>
      <w:r w:rsidR="00653F65" w:rsidRPr="008839A0">
        <w:rPr>
          <w:noProof/>
        </w:rPr>
        <w:t>(Urieli &amp; Berchowitz, 1984)</w:t>
      </w:r>
      <w:r w:rsidR="00653F65">
        <w:fldChar w:fldCharType="end"/>
      </w:r>
      <w:r w:rsidR="004504A9">
        <w:t>, and is based on an adiabatic simulation</w:t>
      </w:r>
      <w:r w:rsidR="00653F65">
        <w:t>.</w:t>
      </w:r>
      <w:r w:rsidR="00BE07E3">
        <w:t xml:space="preserve"> The Stirling engine model has the following spaces</w:t>
      </w:r>
      <w:r w:rsidR="004E3AAA">
        <w:t>, with their associated suffix</w:t>
      </w:r>
      <w:r w:rsidR="00BE07E3">
        <w:t>: compression</w:t>
      </w:r>
      <w:r w:rsidR="004E3AAA">
        <w:t xml:space="preserve"> (c)</w:t>
      </w:r>
      <w:r w:rsidR="00BE07E3">
        <w:t>, cooler</w:t>
      </w:r>
      <w:r w:rsidR="004E3AAA">
        <w:t xml:space="preserve"> (k)</w:t>
      </w:r>
      <w:r w:rsidR="00BE07E3">
        <w:t>, regenerator</w:t>
      </w:r>
      <w:r w:rsidR="004E3AAA">
        <w:t xml:space="preserve"> (r)</w:t>
      </w:r>
      <w:r w:rsidR="00BE07E3">
        <w:t xml:space="preserve">, heater </w:t>
      </w:r>
      <w:r w:rsidR="004E3AAA">
        <w:t xml:space="preserve">(h) </w:t>
      </w:r>
      <w:r w:rsidR="00BE07E3">
        <w:t>and expansion</w:t>
      </w:r>
      <w:r w:rsidR="004E3AAA">
        <w:t xml:space="preserve"> (e)</w:t>
      </w:r>
      <w:r w:rsidR="00BE07E3">
        <w:t>.</w:t>
      </w:r>
      <w:r w:rsidR="004E3AAA">
        <w:t xml:space="preserve"> Each interface has an associated double double suffix (ck, kr, rh, he). Enthalpy is carried across the interfaces by the mass flow rate </w:t>
      </w:r>
      <w:r w:rsidR="001F7C05" w:rsidRPr="00440C20">
        <w:rPr>
          <w:rFonts w:ascii="Cambria Math" w:hAnsi="Cambria Math" w:cs="Cambria Math"/>
        </w:rPr>
        <w:t>ṁ</w:t>
      </w:r>
      <w:r w:rsidR="004E3AAA">
        <w:t xml:space="preserve"> at a temperature T. Positive flow is defined as from the compression to the expansion space. Since temperature in the expansion and compression spaces varies with time, the enthalpy flowing across the boundaries is conditional on the direction as follows:</w:t>
      </w:r>
    </w:p>
    <w:p w:rsidR="004E3AAA" w:rsidRDefault="004504A9" w:rsidP="004504A9">
      <w:pPr>
        <w:ind w:firstLine="720"/>
        <w:rPr>
          <w:vertAlign w:val="subscript"/>
        </w:rPr>
      </w:pPr>
      <w:r>
        <w:t>if</w:t>
      </w:r>
      <w:r w:rsidR="004E3AAA">
        <w:t xml:space="preserve"> </w:t>
      </w:r>
      <w:r w:rsidR="001F7C05" w:rsidRPr="001F7C05">
        <w:rPr>
          <w:rFonts w:ascii="Cambria Math" w:hAnsi="Cambria Math" w:cs="Cambria Math"/>
        </w:rPr>
        <w:t>ṁ</w:t>
      </w:r>
      <w:r w:rsidR="004E3AAA" w:rsidRPr="004E3AAA">
        <w:rPr>
          <w:vertAlign w:val="subscript"/>
        </w:rPr>
        <w:t>ck</w:t>
      </w:r>
      <w:r w:rsidR="004E3AAA">
        <w:t>’ &gt; 0 then T</w:t>
      </w:r>
      <w:r w:rsidR="004E3AAA" w:rsidRPr="004E3AAA">
        <w:rPr>
          <w:vertAlign w:val="subscript"/>
        </w:rPr>
        <w:t>ck</w:t>
      </w:r>
      <w:r w:rsidR="004E3AAA">
        <w:t xml:space="preserve"> = T</w:t>
      </w:r>
      <w:r w:rsidR="004E3AAA" w:rsidRPr="004E3AAA">
        <w:rPr>
          <w:vertAlign w:val="subscript"/>
        </w:rPr>
        <w:t>c</w:t>
      </w:r>
      <w:r w:rsidR="004E3AAA">
        <w:t xml:space="preserve"> else T</w:t>
      </w:r>
      <w:r w:rsidR="004E3AAA" w:rsidRPr="004E3AAA">
        <w:rPr>
          <w:vertAlign w:val="subscript"/>
        </w:rPr>
        <w:t>ck</w:t>
      </w:r>
      <w:r w:rsidR="004E3AAA">
        <w:t xml:space="preserve"> = T</w:t>
      </w:r>
      <w:r w:rsidR="004E3AAA" w:rsidRPr="004E3AAA">
        <w:rPr>
          <w:vertAlign w:val="subscript"/>
        </w:rPr>
        <w:t>k</w:t>
      </w:r>
    </w:p>
    <w:p w:rsidR="004E3AAA" w:rsidRDefault="004504A9" w:rsidP="004504A9">
      <w:pPr>
        <w:ind w:firstLine="720"/>
        <w:rPr>
          <w:vertAlign w:val="subscript"/>
        </w:rPr>
      </w:pPr>
      <w:r>
        <w:t>i</w:t>
      </w:r>
      <w:r w:rsidR="004E3AAA">
        <w:t xml:space="preserve">f </w:t>
      </w:r>
      <w:r w:rsidR="001F7C05" w:rsidRPr="001F7C05">
        <w:rPr>
          <w:rFonts w:ascii="Cambria Math" w:hAnsi="Cambria Math" w:cs="Cambria Math"/>
        </w:rPr>
        <w:t>ṁ</w:t>
      </w:r>
      <w:r w:rsidR="004E3AAA">
        <w:rPr>
          <w:vertAlign w:val="subscript"/>
        </w:rPr>
        <w:t>he</w:t>
      </w:r>
      <w:r w:rsidR="004E3AAA">
        <w:t>’ &gt; 0 then T</w:t>
      </w:r>
      <w:r w:rsidR="004E3AAA">
        <w:rPr>
          <w:vertAlign w:val="subscript"/>
        </w:rPr>
        <w:t>he</w:t>
      </w:r>
      <w:r w:rsidR="004E3AAA">
        <w:t xml:space="preserve"> = T</w:t>
      </w:r>
      <w:r w:rsidR="004E3AAA">
        <w:rPr>
          <w:vertAlign w:val="subscript"/>
        </w:rPr>
        <w:t>h</w:t>
      </w:r>
      <w:r w:rsidR="004E3AAA">
        <w:t xml:space="preserve"> else T</w:t>
      </w:r>
      <w:r w:rsidR="004E3AAA">
        <w:rPr>
          <w:vertAlign w:val="subscript"/>
        </w:rPr>
        <w:t>he</w:t>
      </w:r>
      <w:r w:rsidR="004E3AAA">
        <w:t xml:space="preserve"> = T</w:t>
      </w:r>
      <w:r w:rsidR="004E3AAA">
        <w:rPr>
          <w:vertAlign w:val="subscript"/>
        </w:rPr>
        <w:t>e</w:t>
      </w:r>
    </w:p>
    <w:p w:rsidR="004E3AAA" w:rsidRDefault="004E3AAA" w:rsidP="002C1061">
      <w:r>
        <w:t xml:space="preserve">The total mass in the system is considered to be constant, </w:t>
      </w:r>
      <w:r w:rsidR="004504A9">
        <w:t>and since there is no pressure drop P is constant throughout the system. The pressure losses are subtracted from the ideal model at a later stage.</w:t>
      </w:r>
    </w:p>
    <w:p w:rsidR="004504A9" w:rsidRDefault="004504A9" w:rsidP="002C1061"/>
    <w:p w:rsidR="00BE07E3" w:rsidRDefault="00BE07E3" w:rsidP="00BE07E3">
      <w:pPr>
        <w:keepNext/>
      </w:pPr>
      <w:r>
        <w:rPr>
          <w:noProof/>
          <w:lang w:eastAsia="en-NZ"/>
        </w:rPr>
        <w:drawing>
          <wp:inline distT="0" distB="0" distL="0" distR="0" wp14:anchorId="3F9243B6" wp14:editId="693C7F0C">
            <wp:extent cx="3387486" cy="1897811"/>
            <wp:effectExtent l="0" t="0" r="3810" b="7620"/>
            <wp:docPr id="1" name="Picture 1" descr="E:\ENGG492\Research\i urieli 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GG492\Research\i urieli mod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4324" cy="1901642"/>
                    </a:xfrm>
                    <a:prstGeom prst="rect">
                      <a:avLst/>
                    </a:prstGeom>
                    <a:noFill/>
                    <a:ln>
                      <a:noFill/>
                    </a:ln>
                  </pic:spPr>
                </pic:pic>
              </a:graphicData>
            </a:graphic>
          </wp:inline>
        </w:drawing>
      </w:r>
    </w:p>
    <w:p w:rsidR="00BE07E3" w:rsidRDefault="00BE07E3" w:rsidP="00BE07E3">
      <w:pPr>
        <w:pStyle w:val="Caption"/>
        <w:jc w:val="left"/>
      </w:pPr>
      <w:r>
        <w:t xml:space="preserve">Figure </w:t>
      </w:r>
      <w:r w:rsidR="008839A0">
        <w:fldChar w:fldCharType="begin"/>
      </w:r>
      <w:r w:rsidR="008839A0">
        <w:instrText xml:space="preserve"> SEQ Figure \* ARABIC </w:instrText>
      </w:r>
      <w:r w:rsidR="008839A0">
        <w:fldChar w:fldCharType="separate"/>
      </w:r>
      <w:r w:rsidR="00A029FA">
        <w:rPr>
          <w:noProof/>
        </w:rPr>
        <w:t>3</w:t>
      </w:r>
      <w:r w:rsidR="008839A0">
        <w:rPr>
          <w:noProof/>
        </w:rPr>
        <w:fldChar w:fldCharType="end"/>
      </w:r>
      <w:r>
        <w:t xml:space="preserve"> - Model on which calculations are based (Urieli, 2003)</w:t>
      </w:r>
    </w:p>
    <w:p w:rsidR="004504A9" w:rsidRDefault="004504A9" w:rsidP="002C1061">
      <w:r>
        <w:t xml:space="preserve">Equations of energy and state are applied to each of the </w:t>
      </w:r>
      <w:r w:rsidR="009B200C">
        <w:t xml:space="preserve">five cells, and linked by their pressure and mass relationships. </w:t>
      </w:r>
      <w:r w:rsidR="00440C20">
        <w:t>A generalised cell is considered to derive the relevant equations (</w:t>
      </w:r>
      <w:r w:rsidR="00440C20">
        <w:fldChar w:fldCharType="begin"/>
      </w:r>
      <w:r w:rsidR="00440C20" w:rsidRPr="00440C20">
        <w:instrText xml:space="preserve"> REF _Ref370331007 \h </w:instrText>
      </w:r>
      <w:r w:rsidR="00440C20">
        <w:fldChar w:fldCharType="separate"/>
      </w:r>
      <w:r w:rsidR="00440C20">
        <w:t xml:space="preserve">Figure </w:t>
      </w:r>
      <w:r w:rsidR="00440C20">
        <w:rPr>
          <w:noProof/>
        </w:rPr>
        <w:t>3</w:t>
      </w:r>
      <w:r w:rsidR="00440C20">
        <w:fldChar w:fldCharType="end"/>
      </w:r>
      <w:r w:rsidR="00440C20">
        <w:t>). The rate of heat transfer into the cell plus the enthalpy convected into the cell must match the rate of change of internal energy plus work done on the surroundings:</w:t>
      </w:r>
    </w:p>
    <w:p w:rsidR="00440C20" w:rsidRDefault="00440C20" w:rsidP="002C1061">
      <w:r>
        <w:t>dQ + (c</w:t>
      </w:r>
      <w:r w:rsidRPr="00440C20">
        <w:rPr>
          <w:vertAlign w:val="subscript"/>
        </w:rPr>
        <w:t>p</w:t>
      </w:r>
      <w:r>
        <w:t xml:space="preserve"> T</w:t>
      </w:r>
      <w:r w:rsidRPr="00440C20">
        <w:rPr>
          <w:vertAlign w:val="subscript"/>
        </w:rPr>
        <w:t>i</w:t>
      </w:r>
      <w:r>
        <w:t xml:space="preserve"> </w:t>
      </w:r>
      <w:r w:rsidRPr="00440C20">
        <w:rPr>
          <w:rFonts w:ascii="Cambria Math" w:hAnsi="Cambria Math" w:cs="Cambria Math"/>
        </w:rPr>
        <w:t>ṁ</w:t>
      </w:r>
      <w:r w:rsidRPr="00440C20">
        <w:rPr>
          <w:vertAlign w:val="subscript"/>
        </w:rPr>
        <w:t>i</w:t>
      </w:r>
      <w:r>
        <w:t xml:space="preserve"> – c</w:t>
      </w:r>
      <w:r w:rsidRPr="00440C20">
        <w:rPr>
          <w:vertAlign w:val="subscript"/>
        </w:rPr>
        <w:t>p</w:t>
      </w:r>
      <w:r>
        <w:t xml:space="preserve"> T</w:t>
      </w:r>
      <w:r w:rsidRPr="00440C20">
        <w:rPr>
          <w:vertAlign w:val="subscript"/>
        </w:rPr>
        <w:t>o</w:t>
      </w:r>
      <w:r>
        <w:t xml:space="preserve"> </w:t>
      </w:r>
      <w:r w:rsidRPr="00440C20">
        <w:rPr>
          <w:rFonts w:ascii="Cambria Math" w:hAnsi="Cambria Math" w:cs="Cambria Math"/>
        </w:rPr>
        <w:t>ṁ</w:t>
      </w:r>
      <w:r w:rsidRPr="00440C20">
        <w:rPr>
          <w:vertAlign w:val="subscript"/>
        </w:rPr>
        <w:t>o</w:t>
      </w:r>
      <w:r>
        <w:t>) = dW + c</w:t>
      </w:r>
      <w:r w:rsidRPr="00440C20">
        <w:rPr>
          <w:vertAlign w:val="subscript"/>
        </w:rPr>
        <w:t>v</w:t>
      </w:r>
      <w:r>
        <w:t xml:space="preserve"> d(m T)</w:t>
      </w:r>
    </w:p>
    <w:p w:rsidR="00050C71" w:rsidRDefault="00050C71" w:rsidP="00050C71">
      <w:pPr>
        <w:keepNext/>
      </w:pPr>
      <w:r w:rsidRPr="009B200C">
        <w:rPr>
          <w:noProof/>
          <w:lang w:eastAsia="en-NZ"/>
        </w:rPr>
        <w:lastRenderedPageBreak/>
        <w:drawing>
          <wp:inline distT="0" distB="0" distL="0" distR="0" wp14:anchorId="50E2D8B5" wp14:editId="29A0806E">
            <wp:extent cx="2306952" cy="134572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09544" cy="1347233"/>
                    </a:xfrm>
                    <a:prstGeom prst="rect">
                      <a:avLst/>
                    </a:prstGeom>
                  </pic:spPr>
                </pic:pic>
              </a:graphicData>
            </a:graphic>
          </wp:inline>
        </w:drawing>
      </w:r>
    </w:p>
    <w:p w:rsidR="00050C71" w:rsidRDefault="00050C71" w:rsidP="00050C71">
      <w:pPr>
        <w:pStyle w:val="Caption"/>
        <w:jc w:val="left"/>
      </w:pPr>
      <w:bookmarkStart w:id="3" w:name="_Ref370331007"/>
      <w:r>
        <w:t xml:space="preserve">Figure </w:t>
      </w:r>
      <w:r w:rsidR="008839A0">
        <w:fldChar w:fldCharType="begin"/>
      </w:r>
      <w:r w:rsidR="008839A0">
        <w:instrText xml:space="preserve"> SEQ Figure \* ARABIC </w:instrText>
      </w:r>
      <w:r w:rsidR="008839A0">
        <w:fldChar w:fldCharType="separate"/>
      </w:r>
      <w:r w:rsidR="00A029FA">
        <w:rPr>
          <w:noProof/>
        </w:rPr>
        <w:t>4</w:t>
      </w:r>
      <w:r w:rsidR="008839A0">
        <w:rPr>
          <w:noProof/>
        </w:rPr>
        <w:fldChar w:fldCharType="end"/>
      </w:r>
      <w:bookmarkEnd w:id="3"/>
      <w:r>
        <w:t xml:space="preserve"> - Generalised cell </w:t>
      </w:r>
      <w:r>
        <w:fldChar w:fldCharType="begin" w:fldLock="1"/>
      </w:r>
      <w:r w:rsidR="008839A0">
        <w:instrText>ADDIN CSL_CITATION { "citationItems" : [ { "id" : "ITEM-1", "itemData" : { "DOI" : "10.1016/j.renene.2008.02.030", "ISSN" : "09601481", "author" : [ { "dropping-particle" : "", "family" : "Parlak", "given" : "Nezaket", "non-dropping-particle" : "", "parse-names" : false, "suffix" : "" }, { "dropping-particle" : "", "family" : "Wagner", "given" : "Andreas", "non-dropping-particle" : "", "parse-names" : false, "suffix" : "" }, { "dropping-particle" : "", "family" : "Elsner", "given" : "Michael", "non-dropping-particle" : "", "parse-names" : false, "suffix" : "" }, { "dropping-particle" : "", "family" : "Soyhan", "given" : "Hakan S.", "non-dropping-particle" : "", "parse-names" : false, "suffix" : "" } ], "container-title" : "Renewable Energy", "id" : "ITEM-1", "issue" : "1", "issued" : { "date-parts" : [ [ "2009", "1" ] ] }, "note" : "Fortran code was used based on Urieli's work.\nThe 5 volumes are analysed seperately.\n        \nGood explanation of the \"simple analysis\".\n        \n      ", "page" : "266-273", "title" : "Thermodynamic analysis of a gamma type Stirling engine in non-ideal adiabatic conditions", "type" : "article-journal", "volume" : "34" }, "uris" : [ "http://www.mendeley.com/documents/?uuid=cfb3399a-07ae-4c5c-98f7-dd98b8945fde" ] } ], "mendeley" : { "previouslyFormattedCitation" : "(Parlak, Wagner, Elsner, &amp; Soyhan, 2009)" }, "properties" : { "noteIndex" : 0 }, "schema" : "https://github.com/citation-style-language/schema/raw/master/csl-citation.json" }</w:instrText>
      </w:r>
      <w:r>
        <w:fldChar w:fldCharType="separate"/>
      </w:r>
      <w:r w:rsidRPr="008839A0">
        <w:rPr>
          <w:b w:val="0"/>
          <w:noProof/>
        </w:rPr>
        <w:t>(Parlak, Wagner, Elsner, &amp; Soyhan, 2009)</w:t>
      </w:r>
      <w:r>
        <w:fldChar w:fldCharType="end"/>
      </w:r>
    </w:p>
    <w:p w:rsidR="00440C20" w:rsidRDefault="001F7C05" w:rsidP="002C1061">
      <w:r>
        <w:t>We know the total mass in the system, M, to be constant. Substituting the ideal gas law into this relationship gives the following:</w:t>
      </w:r>
    </w:p>
    <w:p w:rsidR="004432C5" w:rsidRDefault="00F50AF4" w:rsidP="002C1061">
      <w:r>
        <w:t>P</w:t>
      </w:r>
      <w:r w:rsidR="001F7C05" w:rsidRPr="001F7C05">
        <w:t xml:space="preserve"> (V</w:t>
      </w:r>
      <w:r w:rsidR="001F7C05" w:rsidRPr="001F7C05">
        <w:rPr>
          <w:vertAlign w:val="subscript"/>
        </w:rPr>
        <w:t>c</w:t>
      </w:r>
      <w:r w:rsidR="001F7C05" w:rsidRPr="001F7C05">
        <w:t xml:space="preserve"> / T</w:t>
      </w:r>
      <w:r w:rsidR="001F7C05" w:rsidRPr="001F7C05">
        <w:rPr>
          <w:vertAlign w:val="subscript"/>
        </w:rPr>
        <w:t>c</w:t>
      </w:r>
      <w:r w:rsidR="001F7C05" w:rsidRPr="001F7C05">
        <w:t xml:space="preserve"> + V</w:t>
      </w:r>
      <w:r w:rsidR="001F7C05" w:rsidRPr="001F7C05">
        <w:rPr>
          <w:vertAlign w:val="subscript"/>
        </w:rPr>
        <w:t>k</w:t>
      </w:r>
      <w:r w:rsidR="001F7C05" w:rsidRPr="001F7C05">
        <w:t xml:space="preserve"> / T</w:t>
      </w:r>
      <w:r w:rsidR="001F7C05" w:rsidRPr="001F7C05">
        <w:rPr>
          <w:vertAlign w:val="subscript"/>
        </w:rPr>
        <w:t>k</w:t>
      </w:r>
      <w:r w:rsidR="001F7C05" w:rsidRPr="001F7C05">
        <w:t xml:space="preserve"> + V</w:t>
      </w:r>
      <w:r w:rsidR="001F7C05" w:rsidRPr="001F7C05">
        <w:rPr>
          <w:vertAlign w:val="subscript"/>
        </w:rPr>
        <w:t>r</w:t>
      </w:r>
      <w:r w:rsidR="001F7C05" w:rsidRPr="001F7C05">
        <w:t xml:space="preserve"> / T</w:t>
      </w:r>
      <w:r w:rsidR="001F7C05" w:rsidRPr="001F7C05">
        <w:rPr>
          <w:vertAlign w:val="subscript"/>
        </w:rPr>
        <w:t>r</w:t>
      </w:r>
      <w:r w:rsidR="001F7C05" w:rsidRPr="001F7C05">
        <w:t xml:space="preserve"> + V</w:t>
      </w:r>
      <w:r w:rsidR="001F7C05" w:rsidRPr="001F7C05">
        <w:rPr>
          <w:vertAlign w:val="subscript"/>
        </w:rPr>
        <w:t>h</w:t>
      </w:r>
      <w:r w:rsidR="001F7C05" w:rsidRPr="001F7C05">
        <w:t xml:space="preserve"> / T</w:t>
      </w:r>
      <w:r w:rsidR="001F7C05" w:rsidRPr="001F7C05">
        <w:rPr>
          <w:vertAlign w:val="subscript"/>
        </w:rPr>
        <w:t>h</w:t>
      </w:r>
      <w:r w:rsidR="001F7C05" w:rsidRPr="001F7C05">
        <w:t xml:space="preserve"> + V</w:t>
      </w:r>
      <w:r w:rsidR="001F7C05" w:rsidRPr="001F7C05">
        <w:rPr>
          <w:vertAlign w:val="subscript"/>
        </w:rPr>
        <w:t>e</w:t>
      </w:r>
      <w:r w:rsidR="001F7C05" w:rsidRPr="001F7C05">
        <w:t xml:space="preserve"> / T</w:t>
      </w:r>
      <w:r w:rsidR="001F7C05" w:rsidRPr="001F7C05">
        <w:rPr>
          <w:vertAlign w:val="subscript"/>
        </w:rPr>
        <w:t>e</w:t>
      </w:r>
      <w:r w:rsidR="001F7C05" w:rsidRPr="001F7C05">
        <w:t>) / R = M</w:t>
      </w:r>
    </w:p>
    <w:p w:rsidR="001F7C05" w:rsidRDefault="001F7C05" w:rsidP="002C1061">
      <w:r>
        <w:t>The mean effective temperature of the regenerator is given by</w:t>
      </w:r>
    </w:p>
    <w:p w:rsidR="001F7C05" w:rsidRDefault="001F7C05" w:rsidP="002C1061">
      <w:r w:rsidRPr="001F7C05">
        <w:t>T</w:t>
      </w:r>
      <w:r w:rsidRPr="001F7C05">
        <w:rPr>
          <w:vertAlign w:val="subscript"/>
        </w:rPr>
        <w:t>r</w:t>
      </w:r>
      <w:r w:rsidRPr="001F7C05">
        <w:t xml:space="preserve"> = (T</w:t>
      </w:r>
      <w:r w:rsidRPr="001F7C05">
        <w:rPr>
          <w:vertAlign w:val="subscript"/>
        </w:rPr>
        <w:t>h</w:t>
      </w:r>
      <w:r w:rsidRPr="001F7C05">
        <w:t xml:space="preserve"> - T</w:t>
      </w:r>
      <w:r w:rsidRPr="001F7C05">
        <w:rPr>
          <w:vertAlign w:val="subscript"/>
        </w:rPr>
        <w:t>k</w:t>
      </w:r>
      <w:r w:rsidRPr="001F7C05">
        <w:t>) / ln(T</w:t>
      </w:r>
      <w:r w:rsidRPr="001F7C05">
        <w:rPr>
          <w:vertAlign w:val="subscript"/>
        </w:rPr>
        <w:t>h</w:t>
      </w:r>
      <w:r w:rsidRPr="001F7C05">
        <w:t xml:space="preserve"> / T</w:t>
      </w:r>
      <w:r w:rsidRPr="001F7C05">
        <w:rPr>
          <w:vertAlign w:val="subscript"/>
        </w:rPr>
        <w:t>k</w:t>
      </w:r>
      <w:r w:rsidRPr="001F7C05">
        <w:t>)</w:t>
      </w:r>
    </w:p>
    <w:p w:rsidR="004432C5" w:rsidRDefault="004432C5" w:rsidP="004432C5">
      <w:r>
        <w:t xml:space="preserve">Expressions for the change in mass can be written for each of  the heat exchangers. Since the volume and temperatures are considered constant, the differential forms reduce to dm = m dP / </w:t>
      </w:r>
      <w:r w:rsidR="00C83449">
        <w:t>P = (dP/R) V / T</w:t>
      </w:r>
    </w:p>
    <w:p w:rsidR="00C90823" w:rsidRDefault="00C90823" w:rsidP="002C1061">
      <w:r>
        <w:t xml:space="preserve">The total mass in the system is differentiated, </w:t>
      </w:r>
      <w:r w:rsidR="00C83449">
        <w:t xml:space="preserve">and th. </w:t>
      </w:r>
      <w:r>
        <w:t>By susbsituting in expression</w:t>
      </w:r>
      <w:r w:rsidR="00C83449">
        <w:t>s</w:t>
      </w:r>
      <w:r>
        <w:t xml:space="preserve"> for dm</w:t>
      </w:r>
      <w:r w:rsidRPr="00F50AF4">
        <w:rPr>
          <w:vertAlign w:val="subscript"/>
        </w:rPr>
        <w:t>c</w:t>
      </w:r>
      <w:r>
        <w:t xml:space="preserve"> and dm</w:t>
      </w:r>
      <w:r w:rsidRPr="00F50AF4">
        <w:rPr>
          <w:vertAlign w:val="subscript"/>
        </w:rPr>
        <w:t>e</w:t>
      </w:r>
      <w:r>
        <w:t xml:space="preserve"> and simplifying, an expression for d</w:t>
      </w:r>
      <w:r w:rsidR="00F50AF4">
        <w:t>P</w:t>
      </w:r>
      <w:r>
        <w:t xml:space="preserve"> is obtained</w:t>
      </w:r>
    </w:p>
    <w:p w:rsidR="00F50AF4" w:rsidRPr="00C83449" w:rsidRDefault="00F50AF4" w:rsidP="002C1061">
      <m:oMathPara>
        <m:oMathParaPr>
          <m:jc m:val="left"/>
        </m:oMathParaPr>
        <m:oMath>
          <m:r>
            <w:rPr>
              <w:rFonts w:ascii="Cambria Math" w:hAnsi="Cambria Math"/>
            </w:rPr>
            <m:t>dP =</m:t>
          </m:r>
          <m:f>
            <m:fPr>
              <m:ctrlPr>
                <w:rPr>
                  <w:rFonts w:ascii="Cambria Math" w:hAnsi="Cambria Math"/>
                  <w:i/>
                </w:rPr>
              </m:ctrlPr>
            </m:fPr>
            <m:num>
              <m:r>
                <w:rPr>
                  <w:rFonts w:ascii="Cambria Math" w:hAnsi="Cambria Math"/>
                </w:rPr>
                <m:t xml:space="preserve">-γP </m:t>
              </m:r>
              <m:d>
                <m:dPr>
                  <m:ctrlPr>
                    <w:rPr>
                      <w:rFonts w:ascii="Cambria Math" w:hAnsi="Cambria Math"/>
                      <w:i/>
                    </w:rPr>
                  </m:ctrlPr>
                </m:dPr>
                <m:e>
                  <m:f>
                    <m:fPr>
                      <m:type m:val="lin"/>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c</m:t>
                          </m:r>
                        </m:sub>
                      </m:sSub>
                    </m:num>
                    <m:den>
                      <m:sSub>
                        <m:sSubPr>
                          <m:ctrlPr>
                            <w:rPr>
                              <w:rFonts w:ascii="Cambria Math" w:hAnsi="Cambria Math"/>
                              <w:i/>
                            </w:rPr>
                          </m:ctrlPr>
                        </m:sSubPr>
                        <m:e>
                          <m:r>
                            <w:rPr>
                              <w:rFonts w:ascii="Cambria Math" w:hAnsi="Cambria Math"/>
                            </w:rPr>
                            <m:t>T</m:t>
                          </m:r>
                        </m:e>
                        <m:sub>
                          <m:r>
                            <w:rPr>
                              <w:rFonts w:ascii="Cambria Math" w:hAnsi="Cambria Math"/>
                            </w:rPr>
                            <m:t>ck</m:t>
                          </m:r>
                        </m:sub>
                      </m:sSub>
                    </m:den>
                  </m:f>
                  <m:r>
                    <w:rPr>
                      <w:rFonts w:ascii="Cambria Math" w:hAnsi="Cambria Math"/>
                    </w:rPr>
                    <m:t xml:space="preserve"> + </m:t>
                  </m:r>
                  <m:f>
                    <m:fPr>
                      <m:type m:val="lin"/>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e</m:t>
                          </m:r>
                        </m:sub>
                      </m:sSub>
                    </m:num>
                    <m:den>
                      <m:sSub>
                        <m:sSubPr>
                          <m:ctrlPr>
                            <w:rPr>
                              <w:rFonts w:ascii="Cambria Math" w:hAnsi="Cambria Math"/>
                              <w:i/>
                            </w:rPr>
                          </m:ctrlPr>
                        </m:sSubPr>
                        <m:e>
                          <m:r>
                            <w:rPr>
                              <w:rFonts w:ascii="Cambria Math" w:hAnsi="Cambria Math"/>
                            </w:rPr>
                            <m:t>T</m:t>
                          </m:r>
                        </m:e>
                        <m:sub>
                          <m:r>
                            <w:rPr>
                              <w:rFonts w:ascii="Cambria Math" w:hAnsi="Cambria Math"/>
                            </w:rPr>
                            <m:t>he</m:t>
                          </m:r>
                        </m:sub>
                      </m:sSub>
                    </m:den>
                  </m:f>
                </m:e>
              </m:d>
            </m:num>
            <m:den>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c</m:t>
                      </m:r>
                    </m:sub>
                  </m:sSub>
                </m:num>
                <m:den>
                  <m:sSub>
                    <m:sSubPr>
                      <m:ctrlPr>
                        <w:rPr>
                          <w:rFonts w:ascii="Cambria Math" w:hAnsi="Cambria Math"/>
                          <w:i/>
                        </w:rPr>
                      </m:ctrlPr>
                    </m:sSubPr>
                    <m:e>
                      <m:r>
                        <w:rPr>
                          <w:rFonts w:ascii="Cambria Math" w:hAnsi="Cambria Math"/>
                        </w:rPr>
                        <m:t>T</m:t>
                      </m:r>
                    </m:e>
                    <m:sub>
                      <m:r>
                        <w:rPr>
                          <w:rFonts w:ascii="Cambria Math" w:hAnsi="Cambria Math"/>
                        </w:rPr>
                        <m:t>ck</m:t>
                      </m:r>
                    </m:sub>
                  </m:sSub>
                </m:den>
              </m:f>
              <m:r>
                <w:rPr>
                  <w:rFonts w:ascii="Cambria Math" w:hAnsi="Cambria Math"/>
                </w:rPr>
                <m:t>+ γ(</m:t>
              </m:r>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k</m:t>
                      </m:r>
                    </m:sub>
                  </m:sSub>
                </m:num>
                <m:den>
                  <m:sSub>
                    <m:sSubPr>
                      <m:ctrlPr>
                        <w:rPr>
                          <w:rFonts w:ascii="Cambria Math" w:hAnsi="Cambria Math"/>
                          <w:i/>
                        </w:rPr>
                      </m:ctrlPr>
                    </m:sSubPr>
                    <m:e>
                      <m:r>
                        <w:rPr>
                          <w:rFonts w:ascii="Cambria Math" w:hAnsi="Cambria Math"/>
                        </w:rPr>
                        <m:t>T</m:t>
                      </m:r>
                    </m:e>
                    <m:sub>
                      <m:r>
                        <w:rPr>
                          <w:rFonts w:ascii="Cambria Math" w:hAnsi="Cambria Math"/>
                        </w:rPr>
                        <m:t>k</m:t>
                      </m:r>
                    </m:sub>
                  </m:sSub>
                </m:den>
              </m:f>
              <m:r>
                <w:rPr>
                  <w:rFonts w:ascii="Cambria Math" w:hAnsi="Cambria Math"/>
                </w:rPr>
                <m:t xml:space="preserve"> +</m:t>
              </m:r>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r</m:t>
                      </m:r>
                    </m:sub>
                  </m:sSub>
                </m:num>
                <m:den>
                  <m:sSub>
                    <m:sSubPr>
                      <m:ctrlPr>
                        <w:rPr>
                          <w:rFonts w:ascii="Cambria Math" w:hAnsi="Cambria Math"/>
                          <w:i/>
                        </w:rPr>
                      </m:ctrlPr>
                    </m:sSubPr>
                    <m:e>
                      <m:r>
                        <w:rPr>
                          <w:rFonts w:ascii="Cambria Math" w:hAnsi="Cambria Math"/>
                        </w:rPr>
                        <m:t>T</m:t>
                      </m:r>
                    </m:e>
                    <m:sub>
                      <m:r>
                        <w:rPr>
                          <w:rFonts w:ascii="Cambria Math" w:hAnsi="Cambria Math"/>
                        </w:rPr>
                        <m:t>r</m:t>
                      </m:r>
                    </m:sub>
                  </m:sSub>
                </m:den>
              </m:f>
              <m:r>
                <w:rPr>
                  <w:rFonts w:ascii="Cambria Math" w:hAnsi="Cambria Math"/>
                </w:rPr>
                <m:t xml:space="preserve"> + </m:t>
              </m:r>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m:t>
                      </m:r>
                    </m:sub>
                  </m:sSub>
                </m:num>
                <m:den>
                  <m:sSub>
                    <m:sSubPr>
                      <m:ctrlPr>
                        <w:rPr>
                          <w:rFonts w:ascii="Cambria Math" w:hAnsi="Cambria Math"/>
                          <w:i/>
                        </w:rPr>
                      </m:ctrlPr>
                    </m:sSubPr>
                    <m:e>
                      <m:r>
                        <w:rPr>
                          <w:rFonts w:ascii="Cambria Math" w:hAnsi="Cambria Math"/>
                        </w:rPr>
                        <m:t>T</m:t>
                      </m:r>
                    </m:e>
                    <m:sub>
                      <m:r>
                        <w:rPr>
                          <w:rFonts w:ascii="Cambria Math" w:hAnsi="Cambria Math"/>
                        </w:rPr>
                        <m:t>h</m:t>
                      </m:r>
                    </m:sub>
                  </m:sSub>
                </m:den>
              </m:f>
            </m:den>
          </m:f>
        </m:oMath>
      </m:oMathPara>
    </w:p>
    <w:p w:rsidR="00C83449" w:rsidRDefault="00C83449" w:rsidP="002C1061">
      <w:r>
        <w:t>From the expressions for dm</w:t>
      </w:r>
      <w:r w:rsidRPr="00C83449">
        <w:rPr>
          <w:vertAlign w:val="subscript"/>
        </w:rPr>
        <w:t>c</w:t>
      </w:r>
      <w:r>
        <w:t xml:space="preserve"> and dm</w:t>
      </w:r>
      <w:r w:rsidRPr="00C83449">
        <w:rPr>
          <w:vertAlign w:val="subscript"/>
        </w:rPr>
        <w:t>e</w:t>
      </w:r>
      <w:r>
        <w:t xml:space="preserve"> the change in temperature of the cooler and expansion space are also obtained.</w:t>
      </w:r>
    </w:p>
    <w:p w:rsidR="00C83449" w:rsidRDefault="00C83449" w:rsidP="002C1061">
      <w:r>
        <w:t>From the overall cell energy balance, heat transfer into and out of the heat exchangers (dQ</w:t>
      </w:r>
      <w:r w:rsidRPr="00C83449">
        <w:rPr>
          <w:vertAlign w:val="subscript"/>
        </w:rPr>
        <w:t>k</w:t>
      </w:r>
      <w:r>
        <w:t>, dQ</w:t>
      </w:r>
      <w:r w:rsidRPr="00C83449">
        <w:rPr>
          <w:vertAlign w:val="subscript"/>
        </w:rPr>
        <w:t>r</w:t>
      </w:r>
      <w:r>
        <w:t>, dQ</w:t>
      </w:r>
      <w:r w:rsidRPr="00C83449">
        <w:rPr>
          <w:vertAlign w:val="subscript"/>
        </w:rPr>
        <w:t>h</w:t>
      </w:r>
      <w:r>
        <w:t>) is derived.</w:t>
      </w:r>
    </w:p>
    <w:p w:rsidR="00C83449" w:rsidRDefault="00050C71" w:rsidP="002C1061">
      <w:r>
        <w:t>Finally, the work done in the compression and expansion space is given by P dV, completing the full set of equations needed for the ideal adiabatic model (</w:t>
      </w:r>
      <w:r>
        <w:fldChar w:fldCharType="begin"/>
      </w:r>
      <w:r>
        <w:instrText xml:space="preserve"> REF _Ref370336169 \h </w:instrText>
      </w:r>
      <w:r>
        <w:fldChar w:fldCharType="separate"/>
      </w:r>
      <w:r>
        <w:t xml:space="preserve">Figure </w:t>
      </w:r>
      <w:r>
        <w:rPr>
          <w:noProof/>
        </w:rPr>
        <w:t>4</w:t>
      </w:r>
      <w:r>
        <w:fldChar w:fldCharType="end"/>
      </w:r>
      <w:r>
        <w:t>).</w:t>
      </w:r>
    </w:p>
    <w:p w:rsidR="00EE0BEB" w:rsidRDefault="00EE0BEB" w:rsidP="00EE0BEB">
      <w:r>
        <w:t xml:space="preserve">Since the equations needed to analyse the Stirling engine are non-linear, a numerical approach must be used to solve them. The operating temperatures and gas properties are specified, and the total working mass is obtained using a Schmidt analysis </w:t>
      </w:r>
      <w:r>
        <w:fldChar w:fldCharType="begin" w:fldLock="1"/>
      </w:r>
      <w:r w:rsidR="008839A0">
        <w:instrText>ADDIN CSL_CITATION { "citationItems" : [ { "id" : "ITEM-1", "itemData" : { "URL" : "http://www.ohio.edu/mechanical/stirling/me422.html", "accessed" : { "date-parts" : [ [ "2013", "9", "5" ] ] }, "author" : [ { "dropping-particle" : "", "family" : "Urieli", "given" : "I", "non-dropping-particle" : "", "parse-names" : false, "suffix" : "" } ], "id" : "ITEM-1", "issued" : { "date-parts" : [ [ "2010" ] ] }, "title" : "Stirling Cycle Machine Analysis", "type" : "webpage" }, "uris" : [ "http://www.mendeley.com/documents/?uuid=78aeb776-06dd-434f-a54d-b29368b2dd77" ] } ], "mendeley" : { "previouslyFormattedCitation" : "(Urieli, 2010)" }, "properties" : { "noteIndex" : 0 }, "schema" : "https://github.com/citation-style-language/schema/raw/master/csl-citation.json" }</w:instrText>
      </w:r>
      <w:r>
        <w:fldChar w:fldCharType="separate"/>
      </w:r>
      <w:r w:rsidRPr="008839A0">
        <w:rPr>
          <w:noProof/>
        </w:rPr>
        <w:t>(Urieli, 2010)</w:t>
      </w:r>
      <w:r>
        <w:fldChar w:fldCharType="end"/>
      </w:r>
      <w:r>
        <w:t>. Frequency is also specified to work out time related effects such as power and thermal conduction losses. The volumes and volume derivatives are a function of the specific engine geometry.</w:t>
      </w:r>
    </w:p>
    <w:p w:rsidR="00050C71" w:rsidRDefault="00050C71" w:rsidP="002C1061"/>
    <w:p w:rsidR="00C83449" w:rsidRDefault="00C83449" w:rsidP="002C1061"/>
    <w:p w:rsidR="00050C71" w:rsidRDefault="004432C5" w:rsidP="00050C71">
      <w:pPr>
        <w:keepNext/>
      </w:pPr>
      <w:r>
        <w:rPr>
          <w:noProof/>
          <w:lang w:eastAsia="en-NZ"/>
        </w:rPr>
        <w:drawing>
          <wp:inline distT="0" distB="0" distL="0" distR="0" wp14:anchorId="7D0884CD" wp14:editId="4ADBACF9">
            <wp:extent cx="2974194"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74194" cy="3429000"/>
                    </a:xfrm>
                    <a:prstGeom prst="rect">
                      <a:avLst/>
                    </a:prstGeom>
                  </pic:spPr>
                </pic:pic>
              </a:graphicData>
            </a:graphic>
          </wp:inline>
        </w:drawing>
      </w:r>
    </w:p>
    <w:p w:rsidR="004504A9" w:rsidRDefault="00050C71" w:rsidP="00050C71">
      <w:pPr>
        <w:pStyle w:val="Caption"/>
        <w:jc w:val="left"/>
      </w:pPr>
      <w:bookmarkStart w:id="4" w:name="_Ref370336169"/>
      <w:r>
        <w:t xml:space="preserve">Figure </w:t>
      </w:r>
      <w:r w:rsidR="008839A0">
        <w:fldChar w:fldCharType="begin"/>
      </w:r>
      <w:r w:rsidR="008839A0">
        <w:instrText xml:space="preserve"> SEQ Figure \* ARABIC </w:instrText>
      </w:r>
      <w:r w:rsidR="008839A0">
        <w:fldChar w:fldCharType="separate"/>
      </w:r>
      <w:r w:rsidR="00A029FA">
        <w:rPr>
          <w:noProof/>
        </w:rPr>
        <w:t>5</w:t>
      </w:r>
      <w:r w:rsidR="008839A0">
        <w:rPr>
          <w:noProof/>
        </w:rPr>
        <w:fldChar w:fldCharType="end"/>
      </w:r>
      <w:bookmarkEnd w:id="4"/>
      <w:r>
        <w:t xml:space="preserve"> - Equation summary for the ideal adiabatic model </w:t>
      </w:r>
      <w:r>
        <w:fldChar w:fldCharType="begin" w:fldLock="1"/>
      </w:r>
      <w:r w:rsidR="008839A0">
        <w:instrText>ADDIN CSL_CITATION { "citationItems" : [ { "id" : "ITEM-1", "itemData" : { "URL" : "http://www.ohio.edu/mechanical/stirling/me422.html", "accessed" : { "date-parts" : [ [ "2013", "9", "5" ] ] }, "author" : [ { "dropping-particle" : "", "family" : "Urieli", "given" : "I", "non-dropping-particle" : "", "parse-names" : false, "suffix" : "" } ], "id" : "ITEM-1", "issued" : { "date-parts" : [ [ "2010" ] ] }, "title" : "Stirling Cycle Machine Analysis", "type" : "webpage" }, "uris" : [ "http://www.mendeley.com/documents/?uuid=78aeb776-06dd-434f-a54d-b29368b2dd77" ] } ], "mendeley" : { "previouslyFormattedCitation" : "(Urieli, 2010)" }, "properties" : { "noteIndex" : 0 }, "schema" : "https://github.com/citation-style-language/schema/raw/master/csl-citation.json" }</w:instrText>
      </w:r>
      <w:r>
        <w:fldChar w:fldCharType="separate"/>
      </w:r>
      <w:r w:rsidRPr="008839A0">
        <w:rPr>
          <w:b w:val="0"/>
          <w:noProof/>
        </w:rPr>
        <w:t>(Urieli, 2010)</w:t>
      </w:r>
      <w:r>
        <w:fldChar w:fldCharType="end"/>
      </w:r>
    </w:p>
    <w:p w:rsidR="00460924" w:rsidRDefault="00460924" w:rsidP="002C1061">
      <w:r>
        <w:t xml:space="preserve">The whole system of equations is solved as a “quasi steady-flow” system.  It is </w:t>
      </w:r>
      <w:r w:rsidR="002819F5">
        <w:t xml:space="preserve">solved </w:t>
      </w:r>
      <w:r>
        <w:t xml:space="preserve">over a complete cycle as a series of </w:t>
      </w:r>
      <w:r w:rsidR="002819F5">
        <w:t xml:space="preserve">integrations. During each integration interval the mass flows between the cells remain constant, approximating the continuous solution as a series of short straight lines. The system is an initial value problem which is solved using the fourth-order Runge-Kutta method </w:t>
      </w:r>
      <w:r w:rsidR="002819F5">
        <w:fldChar w:fldCharType="begin" w:fldLock="1"/>
      </w:r>
      <w:r w:rsidR="008839A0">
        <w:instrText>ADDIN CSL_CITATION { "citationItems" : [ { "id" : "ITEM-1", "itemData" : { "URL" : "http://www.ohio.edu/mechanical/stirling/me422.html", "accessed" : { "date-parts" : [ [ "2013", "9", "5" ] ] }, "author" : [ { "dropping-particle" : "", "family" : "Urieli", "given" : "I", "non-dropping-particle" : "", "parse-names" : false, "suffix" : "" } ], "id" : "ITEM-1", "issued" : { "date-parts" : [ [ "2010" ] ] }, "title" : "Stirling Cycle Machine Analysis", "type" : "webpage" }, "uris" : [ "http://www.mendeley.com/documents/?uuid=78aeb776-06dd-434f-a54d-b29368b2dd77" ] } ], "mendeley" : { "previouslyFormattedCitation" : "(Urieli, 2010)" }, "properties" : { "noteIndex" : 0 }, "schema" : "https://github.com/citation-style-language/schema/raw/master/csl-citation.json" }</w:instrText>
      </w:r>
      <w:r w:rsidR="002819F5">
        <w:fldChar w:fldCharType="separate"/>
      </w:r>
      <w:r w:rsidR="002819F5" w:rsidRPr="008839A0">
        <w:rPr>
          <w:noProof/>
        </w:rPr>
        <w:t>(Urieli, 2010)</w:t>
      </w:r>
      <w:r w:rsidR="002819F5">
        <w:fldChar w:fldCharType="end"/>
      </w:r>
      <w:r w:rsidR="002819F5">
        <w:t xml:space="preserve">. Although the initial compression and expansion space temperatures are not known, these can be found using an iterative approach, integrating through </w:t>
      </w:r>
      <w:r w:rsidR="00A67F17">
        <w:t xml:space="preserve">multiple </w:t>
      </w:r>
      <w:r w:rsidR="002819F5">
        <w:t xml:space="preserve">cycles until steady state is reached. </w:t>
      </w:r>
    </w:p>
    <w:p w:rsidR="002819F5" w:rsidRPr="00067ACB" w:rsidRDefault="002819F5" w:rsidP="00067ACB">
      <w:pPr>
        <w:pStyle w:val="Heading2"/>
      </w:pPr>
      <w:r w:rsidRPr="00067ACB">
        <w:t>Volume Derivatives</w:t>
      </w:r>
    </w:p>
    <w:p w:rsidR="004504A9" w:rsidRDefault="006B3A3D" w:rsidP="002C1061">
      <w:r>
        <w:t xml:space="preserve">The volume and volume </w:t>
      </w:r>
      <w:r w:rsidR="00201B72">
        <w:t>derivatives</w:t>
      </w:r>
      <w:r>
        <w:t xml:space="preserve"> of the Sharp engine were derived </w:t>
      </w:r>
      <w:r w:rsidR="00201B72">
        <w:t>from the engine geometry</w:t>
      </w:r>
      <w:r>
        <w:t xml:space="preserve">. </w:t>
      </w:r>
      <w:r w:rsidR="00632DA8">
        <w:t xml:space="preserve">The crank angle start position was defined as the point where the power piston </w:t>
      </w:r>
      <w:r w:rsidR="00201B72">
        <w:t>covers</w:t>
      </w:r>
      <w:r w:rsidR="00632DA8">
        <w:t xml:space="preserve"> the exhaust port, and mov</w:t>
      </w:r>
      <w:r w:rsidR="00201B72">
        <w:t>es</w:t>
      </w:r>
      <w:r w:rsidR="00632DA8">
        <w:t xml:space="preserve"> to the right </w:t>
      </w:r>
      <w:r w:rsidR="00201B72">
        <w:t>(</w:t>
      </w:r>
      <w:r w:rsidR="009F45A3">
        <w:fldChar w:fldCharType="begin"/>
      </w:r>
      <w:r w:rsidR="009F45A3" w:rsidRPr="008D76E6">
        <w:instrText xml:space="preserve"> REF _Ref370340207 \h </w:instrText>
      </w:r>
      <w:r w:rsidR="009F45A3">
        <w:fldChar w:fldCharType="separate"/>
      </w:r>
      <w:r w:rsidR="009F45A3">
        <w:t xml:space="preserve">Figure </w:t>
      </w:r>
      <w:r w:rsidR="009F45A3" w:rsidRPr="009F45A3">
        <w:rPr>
          <w:noProof/>
        </w:rPr>
        <w:t>5</w:t>
      </w:r>
      <w:r w:rsidR="009F45A3">
        <w:fldChar w:fldCharType="end"/>
      </w:r>
      <w:r w:rsidR="00201B72">
        <w:t>)</w:t>
      </w:r>
      <w:r w:rsidR="00632DA8">
        <w:t xml:space="preserve">. </w:t>
      </w:r>
      <w:r>
        <w:t xml:space="preserve"> </w:t>
      </w:r>
    </w:p>
    <w:p w:rsidR="006B3A3D" w:rsidRDefault="000311FC" w:rsidP="008D76E6">
      <w:pPr>
        <w:ind w:firstLine="720"/>
        <w:rPr>
          <w:rFonts w:cs="Times New Roman"/>
        </w:rPr>
      </w:pPr>
      <w:r>
        <w:rPr>
          <w:rFonts w:cs="Times New Roman"/>
        </w:rPr>
        <w:t>θ</w:t>
      </w:r>
      <w:r w:rsidR="00201B72">
        <w:rPr>
          <w:rFonts w:cs="Times New Roman"/>
        </w:rPr>
        <w:t xml:space="preserve">1 = </w:t>
      </w:r>
      <w:r w:rsidR="00F40A8A">
        <w:rPr>
          <w:rFonts w:cs="Times New Roman"/>
        </w:rPr>
        <w:t xml:space="preserve">θ3 = </w:t>
      </w:r>
      <w:r w:rsidR="00201B72">
        <w:rPr>
          <w:rFonts w:cs="Times New Roman"/>
        </w:rPr>
        <w:t>θ</w:t>
      </w:r>
    </w:p>
    <w:p w:rsidR="00201B72" w:rsidRDefault="00201B72" w:rsidP="008D76E6">
      <w:pPr>
        <w:ind w:firstLine="720"/>
        <w:rPr>
          <w:rFonts w:cs="Times New Roman"/>
        </w:rPr>
      </w:pPr>
      <w:r>
        <w:rPr>
          <w:rFonts w:cs="Times New Roman"/>
        </w:rPr>
        <w:t>θ2 = sin</w:t>
      </w:r>
      <w:r w:rsidRPr="00201B72">
        <w:rPr>
          <w:rFonts w:cs="Times New Roman"/>
          <w:vertAlign w:val="superscript"/>
        </w:rPr>
        <w:t>-1</w:t>
      </w:r>
      <w:r>
        <w:rPr>
          <w:rFonts w:cs="Times New Roman"/>
        </w:rPr>
        <w:t>(sin(θ)</w:t>
      </w:r>
      <w:r w:rsidR="00F40A8A">
        <w:rPr>
          <w:rFonts w:cs="Times New Roman"/>
        </w:rPr>
        <w:t xml:space="preserve"> </w:t>
      </w:r>
      <w:r>
        <w:rPr>
          <w:rFonts w:cs="Times New Roman"/>
        </w:rPr>
        <w:t>·</w:t>
      </w:r>
      <w:r w:rsidR="00F40A8A">
        <w:rPr>
          <w:rFonts w:cs="Times New Roman"/>
        </w:rPr>
        <w:t xml:space="preserve"> </w:t>
      </w:r>
      <w:r>
        <w:rPr>
          <w:rFonts w:cs="Times New Roman"/>
        </w:rPr>
        <w:t>R1</w:t>
      </w:r>
      <w:r w:rsidR="00F40A8A">
        <w:rPr>
          <w:rFonts w:cs="Times New Roman"/>
        </w:rPr>
        <w:t xml:space="preserve"> </w:t>
      </w:r>
      <w:r>
        <w:rPr>
          <w:rFonts w:cs="Times New Roman"/>
        </w:rPr>
        <w:t>/</w:t>
      </w:r>
      <w:r w:rsidR="00F40A8A">
        <w:rPr>
          <w:rFonts w:cs="Times New Roman"/>
        </w:rPr>
        <w:t xml:space="preserve"> </w:t>
      </w:r>
      <w:r>
        <w:rPr>
          <w:rFonts w:cs="Times New Roman"/>
        </w:rPr>
        <w:t>R2) = sin</w:t>
      </w:r>
      <w:r w:rsidRPr="00201B72">
        <w:rPr>
          <w:rFonts w:cs="Times New Roman"/>
          <w:vertAlign w:val="superscript"/>
        </w:rPr>
        <w:t>-1</w:t>
      </w:r>
      <w:r>
        <w:rPr>
          <w:rFonts w:cs="Times New Roman"/>
        </w:rPr>
        <w:t>(sin(θ)</w:t>
      </w:r>
      <w:r w:rsidR="00F40A8A">
        <w:rPr>
          <w:rFonts w:cs="Times New Roman"/>
        </w:rPr>
        <w:t xml:space="preserve"> </w:t>
      </w:r>
      <w:r>
        <w:rPr>
          <w:rFonts w:cs="Times New Roman"/>
        </w:rPr>
        <w:t>/</w:t>
      </w:r>
      <w:r w:rsidR="00F40A8A">
        <w:rPr>
          <w:rFonts w:cs="Times New Roman"/>
        </w:rPr>
        <w:t xml:space="preserve"> </w:t>
      </w:r>
      <w:r>
        <w:rPr>
          <w:rFonts w:cs="Times New Roman"/>
        </w:rPr>
        <w:t>2)</w:t>
      </w:r>
    </w:p>
    <w:p w:rsidR="00F40A8A" w:rsidRDefault="00F40A8A" w:rsidP="008D76E6">
      <w:pPr>
        <w:ind w:firstLine="720"/>
        <w:rPr>
          <w:rFonts w:cs="Times New Roman"/>
        </w:rPr>
      </w:pPr>
      <w:r>
        <w:rPr>
          <w:rFonts w:cs="Times New Roman"/>
        </w:rPr>
        <w:t>θ4 = θ2 · R3 / R4 = 2 sin</w:t>
      </w:r>
      <w:r w:rsidRPr="00201B72">
        <w:rPr>
          <w:rFonts w:cs="Times New Roman"/>
          <w:vertAlign w:val="superscript"/>
        </w:rPr>
        <w:t>-1</w:t>
      </w:r>
      <w:r>
        <w:rPr>
          <w:rFonts w:cs="Times New Roman"/>
        </w:rPr>
        <w:t>(sin(θ) / 2)</w:t>
      </w:r>
    </w:p>
    <w:p w:rsidR="008D76E6" w:rsidRDefault="00F40A8A" w:rsidP="008D76E6">
      <w:pPr>
        <w:ind w:firstLine="720"/>
        <w:rPr>
          <w:rFonts w:cs="Times New Roman"/>
        </w:rPr>
      </w:pPr>
      <w:r>
        <w:rPr>
          <w:rFonts w:cs="Times New Roman"/>
        </w:rPr>
        <w:t xml:space="preserve">θ5 = </w:t>
      </w:r>
      <w:r w:rsidR="00600059">
        <w:rPr>
          <w:rFonts w:cs="Times New Roman"/>
        </w:rPr>
        <w:t>-</w:t>
      </w:r>
      <w:r>
        <w:rPr>
          <w:rFonts w:cs="Times New Roman"/>
        </w:rPr>
        <w:t>sin</w:t>
      </w:r>
      <w:r w:rsidRPr="00201B72">
        <w:rPr>
          <w:rFonts w:cs="Times New Roman"/>
          <w:vertAlign w:val="superscript"/>
        </w:rPr>
        <w:t>-1</w:t>
      </w:r>
      <w:r w:rsidR="008D76E6">
        <w:rPr>
          <w:rFonts w:cs="Times New Roman"/>
        </w:rPr>
        <w:t>(sin(θ+π/2) · R6 / R5)</w:t>
      </w:r>
    </w:p>
    <w:p w:rsidR="00F40A8A" w:rsidRDefault="008D76E6" w:rsidP="008D76E6">
      <w:pPr>
        <w:ind w:firstLine="720"/>
        <w:rPr>
          <w:rFonts w:cs="Times New Roman"/>
        </w:rPr>
      </w:pPr>
      <w:r>
        <w:rPr>
          <w:rFonts w:cs="Times New Roman"/>
        </w:rPr>
        <w:t xml:space="preserve">     </w:t>
      </w:r>
      <w:r w:rsidR="00F40A8A">
        <w:rPr>
          <w:rFonts w:cs="Times New Roman"/>
        </w:rPr>
        <w:t xml:space="preserve">= </w:t>
      </w:r>
      <w:r w:rsidR="00600059">
        <w:rPr>
          <w:rFonts w:cs="Times New Roman"/>
        </w:rPr>
        <w:t>-</w:t>
      </w:r>
      <w:r w:rsidR="00F40A8A">
        <w:rPr>
          <w:rFonts w:cs="Times New Roman"/>
        </w:rPr>
        <w:t>sin</w:t>
      </w:r>
      <w:r w:rsidR="00F40A8A" w:rsidRPr="00201B72">
        <w:rPr>
          <w:rFonts w:cs="Times New Roman"/>
          <w:vertAlign w:val="superscript"/>
        </w:rPr>
        <w:t>-1</w:t>
      </w:r>
      <w:r w:rsidR="00F40A8A">
        <w:rPr>
          <w:rFonts w:cs="Times New Roman"/>
        </w:rPr>
        <w:t>(0.42 cos(θ))</w:t>
      </w:r>
    </w:p>
    <w:p w:rsidR="00F40A8A" w:rsidRPr="007D5F09" w:rsidRDefault="003D45EA" w:rsidP="002C1061">
      <w:pPr>
        <w:rPr>
          <w:rFonts w:cs="Times New Roman"/>
        </w:rPr>
      </w:pPr>
      <w:r>
        <w:rPr>
          <w:rFonts w:cs="Times New Roman"/>
        </w:rPr>
        <w:t xml:space="preserve">The </w:t>
      </w:r>
      <w:r w:rsidR="00F64641">
        <w:rPr>
          <w:rFonts w:cs="Times New Roman"/>
        </w:rPr>
        <w:t>compression space and expansion</w:t>
      </w:r>
      <w:r>
        <w:rPr>
          <w:rFonts w:cs="Times New Roman"/>
        </w:rPr>
        <w:t xml:space="preserve"> space angles are </w:t>
      </w:r>
      <w:r w:rsidR="008D76E6">
        <w:rPr>
          <w:rFonts w:cs="Times New Roman"/>
        </w:rPr>
        <w:t>a function of</w:t>
      </w:r>
      <w:r w:rsidR="009F45A3">
        <w:rPr>
          <w:rFonts w:cs="Times New Roman"/>
        </w:rPr>
        <w:t xml:space="preserve"> the swept angles inside the engine </w:t>
      </w:r>
      <w:r w:rsidR="007D5F09">
        <w:rPr>
          <w:rFonts w:cs="Times New Roman"/>
        </w:rPr>
        <w:t>(</w:t>
      </w:r>
      <w:r w:rsidR="007D5F09">
        <w:rPr>
          <w:rFonts w:cs="Times New Roman"/>
        </w:rPr>
        <w:fldChar w:fldCharType="begin"/>
      </w:r>
      <w:r w:rsidR="007D5F09">
        <w:rPr>
          <w:rFonts w:cs="Times New Roman"/>
        </w:rPr>
        <w:instrText xml:space="preserve"> REF _Ref370346980 \h </w:instrText>
      </w:r>
      <w:r w:rsidR="007D5F09">
        <w:rPr>
          <w:rFonts w:cs="Times New Roman"/>
        </w:rPr>
      </w:r>
      <w:r w:rsidR="007D5F09">
        <w:rPr>
          <w:rFonts w:cs="Times New Roman"/>
        </w:rPr>
        <w:fldChar w:fldCharType="separate"/>
      </w:r>
      <w:r w:rsidR="007D5F09">
        <w:t xml:space="preserve">Figure </w:t>
      </w:r>
      <w:r w:rsidR="007D5F09">
        <w:rPr>
          <w:noProof/>
        </w:rPr>
        <w:t>6</w:t>
      </w:r>
      <w:r w:rsidR="007D5F09">
        <w:rPr>
          <w:rFonts w:cs="Times New Roman"/>
        </w:rPr>
        <w:fldChar w:fldCharType="end"/>
      </w:r>
      <w:r w:rsidR="007D5F09">
        <w:rPr>
          <w:rFonts w:cs="Times New Roman"/>
        </w:rPr>
        <w:t>).</w:t>
      </w:r>
      <w:r w:rsidR="00437296">
        <w:rPr>
          <w:rFonts w:cs="Times New Roman"/>
        </w:rPr>
        <w:t xml:space="preserve"> </w:t>
      </w:r>
      <w:r w:rsidR="007D5F09">
        <w:rPr>
          <w:rFonts w:cs="Times New Roman"/>
        </w:rPr>
        <w:t>The compression space angle is 180º - 20</w:t>
      </w:r>
      <w:r w:rsidR="007D5F09" w:rsidRPr="007D5F09">
        <w:rPr>
          <w:rFonts w:cs="Times New Roman"/>
        </w:rPr>
        <w:t xml:space="preserve"> </w:t>
      </w:r>
      <w:r w:rsidR="007D5F09">
        <w:rPr>
          <w:rFonts w:cs="Times New Roman"/>
        </w:rPr>
        <w:t>º – 51</w:t>
      </w:r>
      <w:r w:rsidR="007D5F09" w:rsidRPr="007D5F09">
        <w:rPr>
          <w:rFonts w:cs="Times New Roman"/>
        </w:rPr>
        <w:t xml:space="preserve"> </w:t>
      </w:r>
      <w:r w:rsidR="007D5F09">
        <w:rPr>
          <w:rFonts w:cs="Times New Roman"/>
        </w:rPr>
        <w:t>º – 23</w:t>
      </w:r>
      <w:r w:rsidR="007D5F09" w:rsidRPr="007D5F09">
        <w:rPr>
          <w:rFonts w:cs="Times New Roman"/>
        </w:rPr>
        <w:t xml:space="preserve"> </w:t>
      </w:r>
      <w:r w:rsidR="007D5F09">
        <w:rPr>
          <w:rFonts w:cs="Times New Roman"/>
        </w:rPr>
        <w:t>º - θ</w:t>
      </w:r>
      <w:r w:rsidR="007D5F09">
        <w:rPr>
          <w:rFonts w:cs="Times New Roman"/>
          <w:vertAlign w:val="subscript"/>
        </w:rPr>
        <w:t>e</w:t>
      </w:r>
      <w:r w:rsidR="007D5F09">
        <w:rPr>
          <w:rFonts w:cs="Times New Roman"/>
        </w:rPr>
        <w:t>,</w:t>
      </w:r>
      <w:r w:rsidR="008D76E6">
        <w:rPr>
          <w:rFonts w:cs="Times New Roman"/>
        </w:rPr>
        <w:t xml:space="preserve"> and the expansion space angle is given by</w:t>
      </w:r>
      <w:r w:rsidR="007D5F09">
        <w:rPr>
          <w:rFonts w:cs="Times New Roman"/>
        </w:rPr>
        <w:t xml:space="preserve">  θ5 + θ5</w:t>
      </w:r>
      <w:r w:rsidR="007D5F09" w:rsidRPr="003D45EA">
        <w:rPr>
          <w:rFonts w:cs="Times New Roman"/>
          <w:vertAlign w:val="subscript"/>
        </w:rPr>
        <w:t>max</w:t>
      </w:r>
      <w:r w:rsidR="007D5F09">
        <w:rPr>
          <w:rFonts w:cs="Times New Roman"/>
        </w:rPr>
        <w:t xml:space="preserve">. All dimensions </w:t>
      </w:r>
      <w:r w:rsidR="008D76E6">
        <w:rPr>
          <w:rFonts w:cs="Times New Roman"/>
        </w:rPr>
        <w:t xml:space="preserve">are entered in </w:t>
      </w:r>
      <w:r w:rsidR="007D5F09">
        <w:rPr>
          <w:rFonts w:cs="Times New Roman"/>
        </w:rPr>
        <w:t>meters or radians.</w:t>
      </w:r>
    </w:p>
    <w:p w:rsidR="008D76E6" w:rsidRDefault="003D45EA" w:rsidP="008D76E6">
      <w:pPr>
        <w:rPr>
          <w:rFonts w:cs="Times New Roman"/>
        </w:rPr>
      </w:pPr>
      <w:r>
        <w:rPr>
          <w:rFonts w:cs="Times New Roman"/>
        </w:rPr>
        <w:t>θ</w:t>
      </w:r>
      <w:r>
        <w:rPr>
          <w:rFonts w:cs="Times New Roman"/>
          <w:vertAlign w:val="subscript"/>
        </w:rPr>
        <w:t>c</w:t>
      </w:r>
      <w:r>
        <w:rPr>
          <w:rFonts w:cs="Times New Roman"/>
        </w:rPr>
        <w:t xml:space="preserve"> = 1.5335 - θ</w:t>
      </w:r>
      <w:r>
        <w:rPr>
          <w:rFonts w:cs="Times New Roman"/>
          <w:vertAlign w:val="subscript"/>
        </w:rPr>
        <w:t>e</w:t>
      </w:r>
      <w:r>
        <w:rPr>
          <w:rFonts w:cs="Times New Roman"/>
        </w:rPr>
        <w:t xml:space="preserve"> - θ4 </w:t>
      </w:r>
    </w:p>
    <w:p w:rsidR="003D45EA" w:rsidRDefault="008D76E6" w:rsidP="008D76E6">
      <w:pPr>
        <w:rPr>
          <w:rFonts w:cs="Times New Roman"/>
        </w:rPr>
      </w:pPr>
      <w:r>
        <w:rPr>
          <w:rFonts w:cs="Times New Roman"/>
        </w:rPr>
        <w:t xml:space="preserve">    </w:t>
      </w:r>
      <w:r w:rsidR="003D45EA">
        <w:rPr>
          <w:rFonts w:cs="Times New Roman"/>
        </w:rPr>
        <w:t>= 1.</w:t>
      </w:r>
      <w:r w:rsidR="00F64641">
        <w:rPr>
          <w:rFonts w:cs="Times New Roman"/>
        </w:rPr>
        <w:t>1199</w:t>
      </w:r>
      <w:r w:rsidR="003D45EA">
        <w:rPr>
          <w:rFonts w:cs="Times New Roman"/>
        </w:rPr>
        <w:t xml:space="preserve"> + sin</w:t>
      </w:r>
      <w:r w:rsidR="003D45EA" w:rsidRPr="00201B72">
        <w:rPr>
          <w:rFonts w:cs="Times New Roman"/>
          <w:vertAlign w:val="superscript"/>
        </w:rPr>
        <w:t>-1</w:t>
      </w:r>
      <w:r w:rsidR="003D45EA">
        <w:rPr>
          <w:rFonts w:cs="Times New Roman"/>
        </w:rPr>
        <w:t>(0.42 cos(θ)) - 2 sin</w:t>
      </w:r>
      <w:r w:rsidR="003D45EA" w:rsidRPr="00201B72">
        <w:rPr>
          <w:rFonts w:cs="Times New Roman"/>
          <w:vertAlign w:val="superscript"/>
        </w:rPr>
        <w:t>-1</w:t>
      </w:r>
      <w:r w:rsidR="003D45EA">
        <w:rPr>
          <w:rFonts w:cs="Times New Roman"/>
        </w:rPr>
        <w:t>(sin(θ) / 2)</w:t>
      </w:r>
    </w:p>
    <w:p w:rsidR="00F64641" w:rsidRDefault="00F64641" w:rsidP="008D76E6">
      <w:pPr>
        <w:rPr>
          <w:rFonts w:cs="Times New Roman"/>
        </w:rPr>
      </w:pPr>
      <w:r>
        <w:rPr>
          <w:rFonts w:cs="Times New Roman"/>
        </w:rPr>
        <w:t>θ</w:t>
      </w:r>
      <w:r>
        <w:rPr>
          <w:rFonts w:cs="Times New Roman"/>
          <w:vertAlign w:val="subscript"/>
        </w:rPr>
        <w:t>e</w:t>
      </w:r>
      <w:r>
        <w:rPr>
          <w:rFonts w:cs="Times New Roman"/>
        </w:rPr>
        <w:t xml:space="preserve"> = θ5 + θ5</w:t>
      </w:r>
      <w:r w:rsidRPr="003D45EA">
        <w:rPr>
          <w:rFonts w:cs="Times New Roman"/>
          <w:vertAlign w:val="subscript"/>
        </w:rPr>
        <w:t>max</w:t>
      </w:r>
      <w:r>
        <w:rPr>
          <w:rFonts w:cs="Times New Roman"/>
        </w:rPr>
        <w:t xml:space="preserve"> = 0.4334 -sin</w:t>
      </w:r>
      <w:r w:rsidRPr="00201B72">
        <w:rPr>
          <w:rFonts w:cs="Times New Roman"/>
          <w:vertAlign w:val="superscript"/>
        </w:rPr>
        <w:t>-1</w:t>
      </w:r>
      <w:r>
        <w:rPr>
          <w:rFonts w:cs="Times New Roman"/>
        </w:rPr>
        <w:t>(0.42 cos(θ))</w:t>
      </w:r>
    </w:p>
    <w:p w:rsidR="005155C7" w:rsidRDefault="00F64641" w:rsidP="002C1061">
      <w:pPr>
        <w:rPr>
          <w:rFonts w:cs="Times New Roman"/>
        </w:rPr>
      </w:pPr>
      <w:r>
        <w:rPr>
          <w:rFonts w:cs="Times New Roman"/>
        </w:rPr>
        <w:t>To convert these</w:t>
      </w:r>
      <w:r w:rsidR="007D5F09">
        <w:rPr>
          <w:rFonts w:cs="Times New Roman"/>
        </w:rPr>
        <w:t xml:space="preserve"> angles</w:t>
      </w:r>
      <w:r>
        <w:rPr>
          <w:rFonts w:cs="Times New Roman"/>
        </w:rPr>
        <w:t xml:space="preserve"> to volumes, they </w:t>
      </w:r>
      <w:r w:rsidR="007D5F09">
        <w:rPr>
          <w:rFonts w:cs="Times New Roman"/>
        </w:rPr>
        <w:t>are</w:t>
      </w:r>
      <w:r>
        <w:rPr>
          <w:rFonts w:cs="Times New Roman"/>
        </w:rPr>
        <w:t xml:space="preserve"> multiplied by </w:t>
      </w:r>
      <w:r w:rsidR="005155C7">
        <w:rPr>
          <w:rFonts w:cs="Times New Roman"/>
        </w:rPr>
        <w:t xml:space="preserve">swept area and </w:t>
      </w:r>
      <w:r w:rsidR="007D5F09">
        <w:rPr>
          <w:rFonts w:cs="Times New Roman"/>
        </w:rPr>
        <w:t>depth</w:t>
      </w:r>
    </w:p>
    <w:p w:rsidR="00F64641" w:rsidRDefault="005155C7" w:rsidP="008D76E6">
      <w:pPr>
        <w:rPr>
          <w:rFonts w:cs="Times New Roman"/>
        </w:rPr>
      </w:pPr>
      <w:r>
        <w:rPr>
          <w:rFonts w:cs="Times New Roman"/>
        </w:rPr>
        <w:t xml:space="preserve">V = θ · 110 π </w:t>
      </w:r>
      <w:r w:rsidR="00F64641">
        <w:rPr>
          <w:rFonts w:cs="Times New Roman"/>
        </w:rPr>
        <w:t>(R</w:t>
      </w:r>
      <w:r w:rsidR="00F64641" w:rsidRPr="005155C7">
        <w:rPr>
          <w:rFonts w:cs="Times New Roman"/>
          <w:vertAlign w:val="subscript"/>
        </w:rPr>
        <w:t>o</w:t>
      </w:r>
      <w:r>
        <w:rPr>
          <w:rFonts w:cs="Times New Roman"/>
          <w:vertAlign w:val="superscript"/>
        </w:rPr>
        <w:t>2</w:t>
      </w:r>
      <w:r w:rsidR="00F64641">
        <w:rPr>
          <w:rFonts w:cs="Times New Roman"/>
        </w:rPr>
        <w:t xml:space="preserve"> – R</w:t>
      </w:r>
      <w:r w:rsidR="00F64641" w:rsidRPr="005155C7">
        <w:rPr>
          <w:rFonts w:cs="Times New Roman"/>
          <w:vertAlign w:val="subscript"/>
        </w:rPr>
        <w:t>i</w:t>
      </w:r>
      <w:r>
        <w:rPr>
          <w:rFonts w:cs="Times New Roman"/>
          <w:vertAlign w:val="superscript"/>
        </w:rPr>
        <w:t>2</w:t>
      </w:r>
      <w:r w:rsidR="00F64641">
        <w:rPr>
          <w:rFonts w:cs="Times New Roman"/>
        </w:rPr>
        <w:t>)</w:t>
      </w:r>
      <w:r>
        <w:rPr>
          <w:rFonts w:cs="Times New Roman"/>
        </w:rPr>
        <w:t xml:space="preserve"> / 2</w:t>
      </w:r>
      <w:r w:rsidRPr="005155C7">
        <w:rPr>
          <w:rFonts w:cs="Times New Roman"/>
        </w:rPr>
        <w:t xml:space="preserve"> </w:t>
      </w:r>
      <w:r>
        <w:rPr>
          <w:rFonts w:cs="Times New Roman"/>
        </w:rPr>
        <w:t>π = θ · 0.001011</w:t>
      </w:r>
    </w:p>
    <w:p w:rsidR="005155C7" w:rsidRDefault="005155C7" w:rsidP="005155C7">
      <w:pPr>
        <w:rPr>
          <w:rFonts w:cs="Times New Roman"/>
        </w:rPr>
      </w:pPr>
      <w:r>
        <w:rPr>
          <w:rFonts w:cs="Times New Roman"/>
        </w:rPr>
        <w:t>Therefore</w:t>
      </w:r>
    </w:p>
    <w:p w:rsidR="005155C7" w:rsidRDefault="005155C7" w:rsidP="006C6974">
      <w:pPr>
        <w:rPr>
          <w:rFonts w:cs="Times New Roman"/>
        </w:rPr>
      </w:pPr>
      <w:r>
        <w:rPr>
          <w:rFonts w:cs="Times New Roman"/>
        </w:rPr>
        <w:t>V</w:t>
      </w:r>
      <w:r>
        <w:rPr>
          <w:rFonts w:cs="Times New Roman"/>
          <w:vertAlign w:val="subscript"/>
        </w:rPr>
        <w:t>c</w:t>
      </w:r>
      <w:r w:rsidR="009F45A3">
        <w:rPr>
          <w:rFonts w:cs="Times New Roman"/>
        </w:rPr>
        <w:t xml:space="preserve"> = 0.001011 · [</w:t>
      </w:r>
      <w:r>
        <w:rPr>
          <w:rFonts w:cs="Times New Roman"/>
        </w:rPr>
        <w:t>1.1199 + sin</w:t>
      </w:r>
      <w:r w:rsidRPr="00201B72">
        <w:rPr>
          <w:rFonts w:cs="Times New Roman"/>
          <w:vertAlign w:val="superscript"/>
        </w:rPr>
        <w:t>-1</w:t>
      </w:r>
      <w:r>
        <w:rPr>
          <w:rFonts w:cs="Times New Roman"/>
        </w:rPr>
        <w:t>(0.42 cos(θ)) - 2 sin</w:t>
      </w:r>
      <w:r w:rsidRPr="00201B72">
        <w:rPr>
          <w:rFonts w:cs="Times New Roman"/>
          <w:vertAlign w:val="superscript"/>
        </w:rPr>
        <w:t>-1</w:t>
      </w:r>
      <w:r w:rsidR="009F45A3">
        <w:rPr>
          <w:rFonts w:cs="Times New Roman"/>
        </w:rPr>
        <w:t>(sin(θ) / 2)]</w:t>
      </w:r>
    </w:p>
    <w:p w:rsidR="005155C7" w:rsidRDefault="005155C7" w:rsidP="006C6974">
      <w:pPr>
        <w:rPr>
          <w:rFonts w:cs="Times New Roman"/>
        </w:rPr>
      </w:pPr>
      <w:r>
        <w:rPr>
          <w:rFonts w:cs="Times New Roman"/>
        </w:rPr>
        <w:t>V</w:t>
      </w:r>
      <w:r>
        <w:rPr>
          <w:rFonts w:cs="Times New Roman"/>
          <w:vertAlign w:val="subscript"/>
        </w:rPr>
        <w:t xml:space="preserve">e </w:t>
      </w:r>
      <w:r w:rsidR="009F45A3">
        <w:rPr>
          <w:rFonts w:cs="Times New Roman"/>
        </w:rPr>
        <w:t>= 0.001011 · [</w:t>
      </w:r>
      <w:r>
        <w:rPr>
          <w:rFonts w:cs="Times New Roman"/>
        </w:rPr>
        <w:t>0.4334 -sin</w:t>
      </w:r>
      <w:r w:rsidRPr="00201B72">
        <w:rPr>
          <w:rFonts w:cs="Times New Roman"/>
          <w:vertAlign w:val="superscript"/>
        </w:rPr>
        <w:t>-1</w:t>
      </w:r>
      <w:r w:rsidR="009F45A3">
        <w:rPr>
          <w:rFonts w:cs="Times New Roman"/>
        </w:rPr>
        <w:t>(0.42 cos(θ))]</w:t>
      </w:r>
    </w:p>
    <w:p w:rsidR="005155C7" w:rsidRPr="006C6974" w:rsidRDefault="00C658FA" w:rsidP="005155C7">
      <w:pPr>
        <w:rPr>
          <w:rFonts w:cs="Times New Roman"/>
        </w:rPr>
      </w:pPr>
      <w:r>
        <w:rPr>
          <w:rFonts w:cs="Times New Roman"/>
        </w:rPr>
        <w:tab/>
      </w:r>
      <w:r w:rsidR="006C6974">
        <w:rPr>
          <w:rFonts w:cs="Times New Roman"/>
        </w:rPr>
        <w:br/>
      </w:r>
      <m:oMathPara>
        <m:oMathParaPr>
          <m:jc m:val="left"/>
        </m:oMathParaPr>
        <m:oMath>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vertAlign w:val="subscript"/>
                </w:rPr>
                <m:t>c</m:t>
              </m:r>
            </m:sub>
          </m:sSub>
          <m:r>
            <w:rPr>
              <w:rFonts w:ascii="Cambria Math" w:hAnsi="Cambria Math" w:cs="Times New Roman"/>
            </w:rPr>
            <m:t xml:space="preserve"> = </m:t>
          </m:r>
          <m:f>
            <m:fPr>
              <m:ctrlPr>
                <w:rPr>
                  <w:rFonts w:ascii="Cambria Math" w:hAnsi="Cambria Math" w:cs="Times New Roman"/>
                  <w:i/>
                </w:rPr>
              </m:ctrlPr>
            </m:fPr>
            <m:num>
              <m:r>
                <w:rPr>
                  <w:rFonts w:ascii="Cambria Math" w:hAnsi="Cambria Math" w:cs="Times New Roman"/>
                </w:rPr>
                <m:t>-0.0004245·</m:t>
              </m:r>
              <m:func>
                <m:funcPr>
                  <m:ctrlPr>
                    <w:rPr>
                      <w:rFonts w:ascii="Cambria Math" w:hAnsi="Cambria Math" w:cs="Times New Roman"/>
                    </w:rPr>
                  </m:ctrlPr>
                </m:funcPr>
                <m:fName>
                  <m:r>
                    <m:rPr>
                      <m:sty m:val="p"/>
                    </m:rPr>
                    <w:rPr>
                      <w:rFonts w:ascii="Cambria Math" w:hAnsi="Cambria Math" w:cs="Times New Roman"/>
                    </w:rPr>
                    <m:t>sin</m:t>
                  </m:r>
                  <m:ctrlPr>
                    <w:rPr>
                      <w:rFonts w:ascii="Cambria Math" w:hAnsi="Cambria Math" w:cs="Times New Roman"/>
                      <w:i/>
                    </w:rPr>
                  </m:ctrlPr>
                </m:fName>
                <m:e>
                  <m:d>
                    <m:dPr>
                      <m:ctrlPr>
                        <w:rPr>
                          <w:rFonts w:ascii="Cambria Math" w:hAnsi="Cambria Math" w:cs="Times New Roman"/>
                          <w:i/>
                        </w:rPr>
                      </m:ctrlPr>
                    </m:dPr>
                    <m:e>
                      <m:r>
                        <w:rPr>
                          <w:rFonts w:ascii="Cambria Math" w:hAnsi="Cambria Math" w:cs="Times New Roman"/>
                        </w:rPr>
                        <m:t>θ</m:t>
                      </m:r>
                    </m:e>
                  </m:d>
                </m:e>
              </m:func>
            </m:num>
            <m:den>
              <m:rad>
                <m:radPr>
                  <m:degHide m:val="1"/>
                  <m:ctrlPr>
                    <w:rPr>
                      <w:rFonts w:ascii="Cambria Math" w:hAnsi="Cambria Math" w:cs="Times New Roman"/>
                      <w:i/>
                    </w:rPr>
                  </m:ctrlPr>
                </m:radPr>
                <m:deg/>
                <m:e>
                  <m:r>
                    <w:rPr>
                      <w:rFonts w:ascii="Cambria Math" w:hAnsi="Cambria Math" w:cs="Times New Roman"/>
                    </w:rPr>
                    <m:t>1-0.1764∙</m:t>
                  </m:r>
                  <m:sSup>
                    <m:sSupPr>
                      <m:ctrlPr>
                        <w:rPr>
                          <w:rFonts w:ascii="Cambria Math" w:hAnsi="Cambria Math" w:cs="Times New Roman"/>
                          <w:i/>
                        </w:rPr>
                      </m:ctrlPr>
                    </m:sSupPr>
                    <m:e>
                      <m:r>
                        <m:rPr>
                          <m:sty m:val="p"/>
                        </m:rPr>
                        <w:rPr>
                          <w:rFonts w:ascii="Cambria Math" w:hAnsi="Cambria Math" w:cs="Times New Roman"/>
                        </w:rPr>
                        <m:t>cos⁡</m:t>
                      </m:r>
                      <m:r>
                        <w:rPr>
                          <w:rFonts w:ascii="Cambria Math" w:hAnsi="Cambria Math" w:cs="Times New Roman"/>
                        </w:rPr>
                        <m:t>(θ)</m:t>
                      </m:r>
                    </m:e>
                    <m:sup>
                      <m:r>
                        <w:rPr>
                          <w:rFonts w:ascii="Cambria Math" w:hAnsi="Cambria Math" w:cs="Times New Roman"/>
                        </w:rPr>
                        <m:t>2</m:t>
                      </m:r>
                    </m:sup>
                  </m:sSup>
                </m:e>
              </m:rad>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-0.001011·</m:t>
              </m:r>
              <m:func>
                <m:funcPr>
                  <m:ctrlPr>
                    <w:rPr>
                      <w:rFonts w:ascii="Cambria Math" w:hAnsi="Cambria Math" w:cs="Times New Roman"/>
                    </w:rPr>
                  </m:ctrlPr>
                </m:funcPr>
                <m:fName>
                  <m:r>
                    <m:rPr>
                      <m:sty m:val="p"/>
                    </m:rPr>
                    <w:rPr>
                      <w:rFonts w:ascii="Cambria Math" w:hAnsi="Cambria Math" w:cs="Times New Roman"/>
                    </w:rPr>
                    <m:t>cos</m:t>
                  </m:r>
                  <m:ctrlPr>
                    <w:rPr>
                      <w:rFonts w:ascii="Cambria Math" w:hAnsi="Cambria Math" w:cs="Times New Roman"/>
                      <w:i/>
                    </w:rPr>
                  </m:ctrlPr>
                </m:fName>
                <m:e>
                  <m:d>
                    <m:dPr>
                      <m:ctrlPr>
                        <w:rPr>
                          <w:rFonts w:ascii="Cambria Math" w:hAnsi="Cambria Math" w:cs="Times New Roman"/>
                          <w:i/>
                        </w:rPr>
                      </m:ctrlPr>
                    </m:dPr>
                    <m:e>
                      <m:r>
                        <w:rPr>
                          <w:rFonts w:ascii="Cambria Math" w:hAnsi="Cambria Math" w:cs="Times New Roman"/>
                        </w:rPr>
                        <m:t>θ</m:t>
                      </m:r>
                    </m:e>
                  </m:d>
                </m:e>
              </m:func>
            </m:num>
            <m:den>
              <m:rad>
                <m:radPr>
                  <m:degHide m:val="1"/>
                  <m:ctrlPr>
                    <w:rPr>
                      <w:rFonts w:ascii="Cambria Math" w:hAnsi="Cambria Math" w:cs="Times New Roman"/>
                      <w:i/>
                    </w:rPr>
                  </m:ctrlPr>
                </m:radPr>
                <m:deg/>
                <m:e>
                  <m:r>
                    <w:rPr>
                      <w:rFonts w:ascii="Cambria Math" w:hAnsi="Cambria Math" w:cs="Times New Roman"/>
                    </w:rPr>
                    <m:t>1-0.25∙</m:t>
                  </m:r>
                  <m:sSup>
                    <m:sSupPr>
                      <m:ctrlPr>
                        <w:rPr>
                          <w:rFonts w:ascii="Cambria Math" w:hAnsi="Cambria Math" w:cs="Times New Roman"/>
                          <w:i/>
                        </w:rPr>
                      </m:ctrlPr>
                    </m:sSupPr>
                    <m:e>
                      <m:r>
                        <m:rPr>
                          <m:sty m:val="p"/>
                        </m:rPr>
                        <w:rPr>
                          <w:rFonts w:ascii="Cambria Math" w:hAnsi="Cambria Math" w:cs="Times New Roman"/>
                        </w:rPr>
                        <m:t>sin⁡</m:t>
                      </m:r>
                      <m:r>
                        <w:rPr>
                          <w:rFonts w:ascii="Cambria Math" w:hAnsi="Cambria Math" w:cs="Times New Roman"/>
                        </w:rPr>
                        <m:t>(θ)</m:t>
                      </m:r>
                    </m:e>
                    <m:sup>
                      <m:r>
                        <w:rPr>
                          <w:rFonts w:ascii="Cambria Math" w:hAnsi="Cambria Math" w:cs="Times New Roman"/>
                        </w:rPr>
                        <m:t>2</m:t>
                      </m:r>
                    </m:sup>
                  </m:sSup>
                </m:e>
              </m:rad>
            </m:den>
          </m:f>
          <m:r>
            <w:rPr>
              <w:rFonts w:ascii="Cambria Math" w:hAnsi="Cambria Math" w:cs="Times New Roman"/>
            </w:rPr>
            <m:t xml:space="preserve"> </m:t>
          </m:r>
        </m:oMath>
      </m:oMathPara>
    </w:p>
    <w:p w:rsidR="006C6974" w:rsidRDefault="006C6974" w:rsidP="005155C7">
      <w:pPr>
        <w:rPr>
          <w:rFonts w:cs="Times New Roman"/>
        </w:rPr>
      </w:pPr>
      <m:oMathPara>
        <m:oMath>
          <m:r>
            <w:rPr>
              <w:rFonts w:ascii="Cambria Math" w:hAnsi="Cambria Math" w:cs="Times New Roman"/>
            </w:rPr>
            <m:t>d</m:t>
          </m:r>
          <m:sSub>
            <m:sSubPr>
              <m:ctrlPr>
                <w:rPr>
                  <w:rFonts w:ascii="Cambria Math" w:hAnsi="Cambria Math" w:cs="Times New Roman"/>
                  <w:i/>
                  <w:vertAlign w:val="subscript"/>
                </w:rPr>
              </m:ctrlPr>
            </m:sSubPr>
            <m:e>
              <m:r>
                <w:rPr>
                  <w:rFonts w:ascii="Cambria Math" w:hAnsi="Cambria Math" w:cs="Times New Roman"/>
                </w:rPr>
                <m:t>V</m:t>
              </m:r>
              <m:ctrlPr>
                <w:rPr>
                  <w:rFonts w:ascii="Cambria Math" w:hAnsi="Cambria Math" w:cs="Times New Roman"/>
                  <w:i/>
                </w:rPr>
              </m:ctrlPr>
            </m:e>
            <m:sub>
              <m:r>
                <w:rPr>
                  <w:rFonts w:ascii="Cambria Math" w:hAnsi="Cambria Math" w:cs="Times New Roman"/>
                  <w:vertAlign w:val="subscript"/>
                </w:rPr>
                <m:t>e</m:t>
              </m:r>
            </m:sub>
          </m:sSub>
          <m:r>
            <w:rPr>
              <w:rFonts w:ascii="Cambria Math" w:hAnsi="Cambria Math" w:cs="Times New Roman"/>
            </w:rPr>
            <m:t xml:space="preserve"> = </m:t>
          </m:r>
          <m:f>
            <m:fPr>
              <m:ctrlPr>
                <w:rPr>
                  <w:rFonts w:ascii="Cambria Math" w:hAnsi="Cambria Math" w:cs="Times New Roman"/>
                  <w:i/>
                </w:rPr>
              </m:ctrlPr>
            </m:fPr>
            <m:num>
              <m:r>
                <w:rPr>
                  <w:rFonts w:ascii="Cambria Math" w:hAnsi="Cambria Math" w:cs="Times New Roman"/>
                </w:rPr>
                <m:t>0.0004245</m:t>
              </m:r>
              <m:func>
                <m:funcPr>
                  <m:ctrlPr>
                    <w:rPr>
                      <w:rFonts w:ascii="Cambria Math" w:hAnsi="Cambria Math" w:cs="Times New Roman"/>
                    </w:rPr>
                  </m:ctrlPr>
                </m:funcPr>
                <m:fName>
                  <m:r>
                    <m:rPr>
                      <m:sty m:val="p"/>
                    </m:rPr>
                    <w:rPr>
                      <w:rFonts w:ascii="Cambria Math" w:hAnsi="Cambria Math" w:cs="Times New Roman"/>
                    </w:rPr>
                    <m:t>∙sin</m:t>
                  </m:r>
                  <m:ctrlPr>
                    <w:rPr>
                      <w:rFonts w:ascii="Cambria Math" w:hAnsi="Cambria Math" w:cs="Times New Roman"/>
                      <w:i/>
                    </w:rPr>
                  </m:ctrlPr>
                </m:fName>
                <m:e>
                  <m:d>
                    <m:dPr>
                      <m:ctrlPr>
                        <w:rPr>
                          <w:rFonts w:ascii="Cambria Math" w:hAnsi="Cambria Math" w:cs="Times New Roman"/>
                          <w:i/>
                        </w:rPr>
                      </m:ctrlPr>
                    </m:dPr>
                    <m:e>
                      <m:r>
                        <w:rPr>
                          <w:rFonts w:ascii="Cambria Math" w:hAnsi="Cambria Math" w:cs="Times New Roman"/>
                        </w:rPr>
                        <m:t>θ</m:t>
                      </m:r>
                    </m:e>
                  </m:d>
                </m:e>
              </m:func>
            </m:num>
            <m:den>
              <m:rad>
                <m:radPr>
                  <m:degHide m:val="1"/>
                  <m:ctrlPr>
                    <w:rPr>
                      <w:rFonts w:ascii="Cambria Math" w:hAnsi="Cambria Math" w:cs="Times New Roman"/>
                      <w:i/>
                    </w:rPr>
                  </m:ctrlPr>
                </m:radPr>
                <m:deg/>
                <m:e>
                  <m:r>
                    <w:rPr>
                      <w:rFonts w:ascii="Cambria Math" w:hAnsi="Cambria Math" w:cs="Times New Roman"/>
                    </w:rPr>
                    <m:t>1-0.1764∙</m:t>
                  </m:r>
                  <m:sSup>
                    <m:sSupPr>
                      <m:ctrlPr>
                        <w:rPr>
                          <w:rFonts w:ascii="Cambria Math" w:hAnsi="Cambria Math" w:cs="Times New Roman"/>
                          <w:i/>
                        </w:rPr>
                      </m:ctrlPr>
                    </m:sSupPr>
                    <m:e>
                      <m:r>
                        <m:rPr>
                          <m:sty m:val="p"/>
                        </m:rPr>
                        <w:rPr>
                          <w:rFonts w:ascii="Cambria Math" w:hAnsi="Cambria Math" w:cs="Times New Roman"/>
                        </w:rPr>
                        <m:t>cos⁡</m:t>
                      </m:r>
                      <m:r>
                        <w:rPr>
                          <w:rFonts w:ascii="Cambria Math" w:hAnsi="Cambria Math" w:cs="Times New Roman"/>
                        </w:rPr>
                        <m:t>(θ)</m:t>
                      </m:r>
                    </m:e>
                    <m:sup>
                      <m:r>
                        <w:rPr>
                          <w:rFonts w:ascii="Cambria Math" w:hAnsi="Cambria Math" w:cs="Times New Roman"/>
                        </w:rPr>
                        <m:t>2</m:t>
                      </m:r>
                    </m:sup>
                  </m:sSup>
                </m:e>
              </m:rad>
            </m:den>
          </m:f>
        </m:oMath>
      </m:oMathPar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tblGrid>
      <w:tr w:rsidR="008D76E6" w:rsidTr="008D76E6">
        <w:tc>
          <w:tcPr>
            <w:tcW w:w="4459" w:type="dxa"/>
          </w:tcPr>
          <w:p w:rsidR="008D76E6" w:rsidRDefault="008D76E6" w:rsidP="008D76E6">
            <w:pPr>
              <w:keepNext/>
              <w:jc w:val="center"/>
            </w:pPr>
            <w:r>
              <w:rPr>
                <w:noProof/>
                <w:lang w:eastAsia="en-NZ"/>
              </w:rPr>
              <w:drawing>
                <wp:inline distT="0" distB="0" distL="0" distR="0" wp14:anchorId="3283C208" wp14:editId="03B78780">
                  <wp:extent cx="2695175" cy="2001328"/>
                  <wp:effectExtent l="0" t="0" r="0" b="0"/>
                  <wp:docPr id="5" name="Picture 5" descr="F:\ENGG492\Research\Mechan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GG492\Research\Mechanism.png"/>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5210" b="99399" l="744" r="100000">
                                        <a14:foregroundMark x1="68006" y1="66533" x2="78571" y2="66533"/>
                                        <a14:backgroundMark x1="70387" y1="87776" x2="70387" y2="87776"/>
                                        <a14:backgroundMark x1="84673" y1="8016" x2="84673" y2="8016"/>
                                        <a14:backgroundMark x1="6696" y1="20641" x2="23065" y2="20641"/>
                                        <a14:backgroundMark x1="72470" y1="2806" x2="75595" y2="10822"/>
                                        <a14:backgroundMark x1="77083" y1="11222" x2="94196" y2="1182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698392" cy="2003717"/>
                          </a:xfrm>
                          <a:prstGeom prst="rect">
                            <a:avLst/>
                          </a:prstGeom>
                          <a:noFill/>
                          <a:ln>
                            <a:noFill/>
                          </a:ln>
                        </pic:spPr>
                      </pic:pic>
                    </a:graphicData>
                  </a:graphic>
                </wp:inline>
              </w:drawing>
            </w:r>
          </w:p>
          <w:p w:rsidR="008D76E6" w:rsidRDefault="008D76E6" w:rsidP="00A67F17">
            <w:pPr>
              <w:pStyle w:val="Caption"/>
              <w:jc w:val="left"/>
            </w:pPr>
            <w:bookmarkStart w:id="5" w:name="_Ref370340207"/>
          </w:p>
          <w:p w:rsidR="008D76E6" w:rsidRPr="008D76E6" w:rsidRDefault="008D76E6" w:rsidP="008D76E6">
            <w:pPr>
              <w:pStyle w:val="Caption"/>
              <w:jc w:val="left"/>
            </w:pPr>
            <w:r>
              <w:t xml:space="preserve">Figure </w:t>
            </w:r>
            <w:r>
              <w:fldChar w:fldCharType="begin"/>
            </w:r>
            <w:r w:rsidRPr="008D76E6">
              <w:instrText xml:space="preserve"> SEQ Figure \* ARABIC </w:instrText>
            </w:r>
            <w:r>
              <w:fldChar w:fldCharType="separate"/>
            </w:r>
            <w:r w:rsidR="00A029FA">
              <w:rPr>
                <w:noProof/>
              </w:rPr>
              <w:t>6</w:t>
            </w:r>
            <w:r>
              <w:fldChar w:fldCharType="end"/>
            </w:r>
            <w:bookmarkEnd w:id="5"/>
            <w:r>
              <w:t xml:space="preserve"> - Geometry of the Sharp Engine drive mechanism</w:t>
            </w:r>
          </w:p>
        </w:tc>
      </w:tr>
      <w:tr w:rsidR="008D76E6" w:rsidTr="008D76E6">
        <w:tc>
          <w:tcPr>
            <w:tcW w:w="4459" w:type="dxa"/>
          </w:tcPr>
          <w:p w:rsidR="008D76E6" w:rsidRDefault="008D76E6" w:rsidP="008D76E6">
            <w:pPr>
              <w:keepNext/>
              <w:jc w:val="center"/>
            </w:pPr>
            <w:r>
              <w:rPr>
                <w:noProof/>
                <w:lang w:eastAsia="en-NZ"/>
              </w:rPr>
              <w:drawing>
                <wp:inline distT="0" distB="0" distL="0" distR="0" wp14:anchorId="32D5DDC4" wp14:editId="51A97EBF">
                  <wp:extent cx="1725283" cy="1994590"/>
                  <wp:effectExtent l="0" t="0" r="8890" b="5715"/>
                  <wp:docPr id="8" name="Picture 8" descr="F:\ENGG492\Research\A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NGG492\Research\Angl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8464" cy="1998268"/>
                          </a:xfrm>
                          <a:prstGeom prst="rect">
                            <a:avLst/>
                          </a:prstGeom>
                          <a:noFill/>
                          <a:ln>
                            <a:noFill/>
                          </a:ln>
                        </pic:spPr>
                      </pic:pic>
                    </a:graphicData>
                  </a:graphic>
                </wp:inline>
              </w:drawing>
            </w:r>
          </w:p>
          <w:p w:rsidR="008D76E6" w:rsidRDefault="008D76E6" w:rsidP="008D76E6">
            <w:pPr>
              <w:pStyle w:val="Caption"/>
              <w:jc w:val="left"/>
            </w:pPr>
            <w:bookmarkStart w:id="6" w:name="_Ref370346980"/>
          </w:p>
          <w:p w:rsidR="008D76E6" w:rsidRPr="009F45A3" w:rsidRDefault="008D76E6" w:rsidP="008D76E6">
            <w:pPr>
              <w:pStyle w:val="Caption"/>
              <w:jc w:val="left"/>
            </w:pPr>
            <w:r>
              <w:t xml:space="preserve">Figure </w:t>
            </w:r>
            <w:r>
              <w:fldChar w:fldCharType="begin"/>
            </w:r>
            <w:r w:rsidRPr="008D76E6">
              <w:instrText xml:space="preserve"> SEQ Figure \* ARABIC </w:instrText>
            </w:r>
            <w:r>
              <w:fldChar w:fldCharType="separate"/>
            </w:r>
            <w:r w:rsidR="00A029FA">
              <w:rPr>
                <w:noProof/>
              </w:rPr>
              <w:t>7</w:t>
            </w:r>
            <w:r>
              <w:fldChar w:fldCharType="end"/>
            </w:r>
            <w:bookmarkEnd w:id="6"/>
            <w:r>
              <w:t xml:space="preserve"> - Dimensions (mm) and swept angles of the Sharp engine</w:t>
            </w:r>
          </w:p>
          <w:p w:rsidR="008D76E6" w:rsidRDefault="008D76E6" w:rsidP="00A67F17">
            <w:pPr>
              <w:keepNext/>
              <w:rPr>
                <w:noProof/>
                <w:lang w:eastAsia="en-NZ"/>
              </w:rPr>
            </w:pPr>
          </w:p>
        </w:tc>
      </w:tr>
    </w:tbl>
    <w:p w:rsidR="00A67F17" w:rsidRDefault="00A67F17" w:rsidP="005155C7">
      <w:pPr>
        <w:rPr>
          <w:rFonts w:cs="Times New Roman"/>
        </w:rPr>
      </w:pPr>
    </w:p>
    <w:p w:rsidR="008709BF" w:rsidRDefault="008709BF" w:rsidP="005155C7">
      <w:pPr>
        <w:rPr>
          <w:rFonts w:cs="Times New Roman"/>
        </w:rPr>
      </w:pPr>
    </w:p>
    <w:p w:rsidR="008709BF" w:rsidRDefault="008709BF" w:rsidP="008709BF">
      <w:pPr>
        <w:keepNext/>
      </w:pPr>
      <w:r>
        <w:rPr>
          <w:noProof/>
          <w:lang w:eastAsia="en-NZ"/>
        </w:rPr>
        <w:drawing>
          <wp:inline distT="0" distB="0" distL="0" distR="0" wp14:anchorId="6E70375B" wp14:editId="62089352">
            <wp:extent cx="3181350" cy="20955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709BF" w:rsidRPr="003D45EA" w:rsidRDefault="008709BF" w:rsidP="008709BF">
      <w:pPr>
        <w:pStyle w:val="Caption"/>
        <w:jc w:val="left"/>
        <w:rPr>
          <w:rFonts w:cs="Times New Roman"/>
        </w:rPr>
      </w:pPr>
      <w:r>
        <w:t xml:space="preserve">Figure </w:t>
      </w:r>
      <w:r>
        <w:fldChar w:fldCharType="begin"/>
      </w:r>
      <w:r w:rsidRPr="009F45A3">
        <w:instrText xml:space="preserve"> SEQ Figure \* ARABIC </w:instrText>
      </w:r>
      <w:r>
        <w:fldChar w:fldCharType="separate"/>
      </w:r>
      <w:r w:rsidR="00A029FA">
        <w:rPr>
          <w:noProof/>
        </w:rPr>
        <w:t>8</w:t>
      </w:r>
      <w:r>
        <w:fldChar w:fldCharType="end"/>
      </w:r>
      <w:r>
        <w:t xml:space="preserve"> - Compression and expansion space volume variations in the Sharp engine</w:t>
      </w:r>
    </w:p>
    <w:p w:rsidR="00A67F17" w:rsidRDefault="00A67F17" w:rsidP="00067ACB">
      <w:pPr>
        <w:pStyle w:val="Heading2"/>
      </w:pPr>
      <w:r>
        <w:t xml:space="preserve">Heat Transfer </w:t>
      </w:r>
      <w:r w:rsidR="00067ACB">
        <w:t>C</w:t>
      </w:r>
      <w:r w:rsidR="00067ACB" w:rsidRPr="00067ACB">
        <w:t>oefficient</w:t>
      </w:r>
    </w:p>
    <w:p w:rsidR="00A67F17" w:rsidRDefault="00067ACB" w:rsidP="002C1061">
      <w:r>
        <w:t>The heat transfer in the engine is modelled based on standard convective heat transfer</w:t>
      </w:r>
      <w:r w:rsidR="0088691A">
        <w:t>, applied over a cycle</w:t>
      </w:r>
    </w:p>
    <w:p w:rsidR="00067ACB" w:rsidRDefault="00067ACB" w:rsidP="002C1061">
      <w:r>
        <w:rPr>
          <w:rFonts w:cs="Times New Roman"/>
        </w:rPr>
        <w:t>Q = h · A</w:t>
      </w:r>
      <w:r w:rsidR="005E2BB6" w:rsidRPr="005E2BB6">
        <w:rPr>
          <w:rFonts w:cs="Times New Roman"/>
          <w:vertAlign w:val="subscript"/>
        </w:rPr>
        <w:t>w</w:t>
      </w:r>
      <w:r>
        <w:rPr>
          <w:rFonts w:cs="Times New Roman"/>
        </w:rPr>
        <w:t xml:space="preserve"> · (T</w:t>
      </w:r>
      <w:r w:rsidRPr="00067ACB">
        <w:rPr>
          <w:rFonts w:cs="Times New Roman"/>
          <w:vertAlign w:val="subscript"/>
        </w:rPr>
        <w:t>w</w:t>
      </w:r>
      <w:r>
        <w:rPr>
          <w:rFonts w:cs="Times New Roman"/>
        </w:rPr>
        <w:t xml:space="preserve"> – T)</w:t>
      </w:r>
      <w:r w:rsidR="0088691A">
        <w:rPr>
          <w:rFonts w:cs="Times New Roman"/>
        </w:rPr>
        <w:t xml:space="preserve"> / ƒ</w:t>
      </w:r>
    </w:p>
    <w:p w:rsidR="00A67F17" w:rsidRDefault="00067ACB" w:rsidP="002C1061">
      <w:pPr>
        <w:rPr>
          <w:rFonts w:cs="Times New Roman"/>
        </w:rPr>
      </w:pPr>
      <w:r>
        <w:t>Where h is the heat transfer coefficient, A</w:t>
      </w:r>
      <w:r w:rsidR="005E2BB6" w:rsidRPr="005E2BB6">
        <w:rPr>
          <w:vertAlign w:val="subscript"/>
        </w:rPr>
        <w:t>w</w:t>
      </w:r>
      <w:r>
        <w:t xml:space="preserve"> is the wetted </w:t>
      </w:r>
      <w:r w:rsidR="0088691A">
        <w:t>area,</w:t>
      </w:r>
      <w:r>
        <w:t xml:space="preserve"> </w:t>
      </w:r>
      <w:r>
        <w:rPr>
          <w:rFonts w:cs="Times New Roman"/>
        </w:rPr>
        <w:t>T</w:t>
      </w:r>
      <w:r w:rsidRPr="00067ACB">
        <w:rPr>
          <w:rFonts w:cs="Times New Roman"/>
          <w:vertAlign w:val="subscript"/>
        </w:rPr>
        <w:t>w</w:t>
      </w:r>
      <w:r>
        <w:rPr>
          <w:rFonts w:cs="Times New Roman"/>
        </w:rPr>
        <w:t xml:space="preserve"> </w:t>
      </w:r>
      <w:r w:rsidR="0088691A">
        <w:rPr>
          <w:rFonts w:cs="Times New Roman"/>
        </w:rPr>
        <w:t>and T are the wall and</w:t>
      </w:r>
      <w:r>
        <w:rPr>
          <w:rFonts w:cs="Times New Roman"/>
        </w:rPr>
        <w:t xml:space="preserve"> gas temperature</w:t>
      </w:r>
      <w:r w:rsidR="0088691A">
        <w:rPr>
          <w:rFonts w:cs="Times New Roman"/>
        </w:rPr>
        <w:t>s and ƒ is the frequency. Applying this equation to the cooler and heater</w:t>
      </w:r>
      <w:r w:rsidR="005E2BB6">
        <w:rPr>
          <w:rFonts w:cs="Times New Roman"/>
        </w:rPr>
        <w:t xml:space="preserve"> (</w:t>
      </w:r>
      <w:r w:rsidR="005E2BB6">
        <w:rPr>
          <w:rFonts w:cs="Times New Roman"/>
        </w:rPr>
        <w:fldChar w:fldCharType="begin"/>
      </w:r>
      <w:r w:rsidR="005E2BB6" w:rsidRPr="008D76E6">
        <w:rPr>
          <w:rFonts w:cs="Times New Roman"/>
        </w:rPr>
        <w:instrText xml:space="preserve"> REF _Ref370370532 \h </w:instrText>
      </w:r>
      <w:r w:rsidR="005E2BB6">
        <w:rPr>
          <w:rFonts w:cs="Times New Roman"/>
        </w:rPr>
      </w:r>
      <w:r w:rsidR="005E2BB6">
        <w:rPr>
          <w:rFonts w:cs="Times New Roman"/>
        </w:rPr>
        <w:fldChar w:fldCharType="separate"/>
      </w:r>
      <w:r w:rsidR="005E2BB6" w:rsidRPr="005E2BB6">
        <w:t xml:space="preserve">Figure </w:t>
      </w:r>
      <w:r w:rsidR="005E2BB6" w:rsidRPr="005E2BB6">
        <w:rPr>
          <w:noProof/>
        </w:rPr>
        <w:t>8</w:t>
      </w:r>
      <w:r w:rsidR="005E2BB6">
        <w:rPr>
          <w:rFonts w:cs="Times New Roman"/>
        </w:rPr>
        <w:fldChar w:fldCharType="end"/>
      </w:r>
      <w:r w:rsidR="005E2BB6">
        <w:rPr>
          <w:rFonts w:cs="Times New Roman"/>
        </w:rPr>
        <w:t>)</w:t>
      </w:r>
    </w:p>
    <w:p w:rsidR="005E2BB6" w:rsidRDefault="005E2BB6" w:rsidP="002C1061">
      <w:pPr>
        <w:rPr>
          <w:rFonts w:cs="Times New Roman"/>
        </w:rPr>
      </w:pPr>
      <w:r>
        <w:rPr>
          <w:rFonts w:cs="Times New Roman"/>
        </w:rPr>
        <w:t>Q</w:t>
      </w:r>
      <w:r w:rsidRPr="005E2BB6">
        <w:rPr>
          <w:rFonts w:cs="Times New Roman"/>
          <w:vertAlign w:val="subscript"/>
        </w:rPr>
        <w:t>k</w:t>
      </w:r>
      <w:r>
        <w:rPr>
          <w:rFonts w:cs="Times New Roman"/>
        </w:rPr>
        <w:t xml:space="preserve"> – Q</w:t>
      </w:r>
      <w:r w:rsidRPr="005E2BB6">
        <w:rPr>
          <w:rFonts w:cs="Times New Roman"/>
          <w:vertAlign w:val="subscript"/>
        </w:rPr>
        <w:t>rloss</w:t>
      </w:r>
      <w:r>
        <w:rPr>
          <w:rFonts w:cs="Times New Roman"/>
        </w:rPr>
        <w:t xml:space="preserve"> = h</w:t>
      </w:r>
      <w:r w:rsidRPr="005E2BB6">
        <w:rPr>
          <w:rFonts w:cs="Times New Roman"/>
          <w:vertAlign w:val="subscript"/>
        </w:rPr>
        <w:t>k</w:t>
      </w:r>
      <w:r>
        <w:rPr>
          <w:rFonts w:cs="Times New Roman"/>
        </w:rPr>
        <w:t xml:space="preserve"> A</w:t>
      </w:r>
      <w:r w:rsidRPr="005E2BB6">
        <w:rPr>
          <w:rFonts w:cs="Times New Roman"/>
          <w:vertAlign w:val="subscript"/>
        </w:rPr>
        <w:t>wk</w:t>
      </w:r>
      <w:r>
        <w:rPr>
          <w:rFonts w:cs="Times New Roman"/>
        </w:rPr>
        <w:t xml:space="preserve"> (T</w:t>
      </w:r>
      <w:r w:rsidRPr="005E2BB6">
        <w:rPr>
          <w:rFonts w:cs="Times New Roman"/>
          <w:vertAlign w:val="subscript"/>
        </w:rPr>
        <w:t>wk</w:t>
      </w:r>
      <w:r>
        <w:rPr>
          <w:rFonts w:cs="Times New Roman"/>
        </w:rPr>
        <w:t xml:space="preserve"> – T</w:t>
      </w:r>
      <w:r w:rsidRPr="005E2BB6">
        <w:rPr>
          <w:rFonts w:cs="Times New Roman"/>
          <w:vertAlign w:val="subscript"/>
        </w:rPr>
        <w:t>k</w:t>
      </w:r>
      <w:r>
        <w:rPr>
          <w:rFonts w:cs="Times New Roman"/>
        </w:rPr>
        <w:t>) / ƒ</w:t>
      </w:r>
    </w:p>
    <w:p w:rsidR="005E2BB6" w:rsidRDefault="005E2BB6" w:rsidP="002C1061">
      <w:pPr>
        <w:rPr>
          <w:rFonts w:cs="Times New Roman"/>
        </w:rPr>
      </w:pPr>
      <w:r>
        <w:rPr>
          <w:rFonts w:cs="Times New Roman"/>
        </w:rPr>
        <w:t>Q</w:t>
      </w:r>
      <w:r w:rsidRPr="005E2BB6">
        <w:rPr>
          <w:rFonts w:cs="Times New Roman"/>
          <w:vertAlign w:val="subscript"/>
        </w:rPr>
        <w:t>h</w:t>
      </w:r>
      <w:r>
        <w:rPr>
          <w:rFonts w:cs="Times New Roman"/>
        </w:rPr>
        <w:t xml:space="preserve"> + Q</w:t>
      </w:r>
      <w:r w:rsidRPr="005E2BB6">
        <w:rPr>
          <w:rFonts w:cs="Times New Roman"/>
          <w:vertAlign w:val="subscript"/>
        </w:rPr>
        <w:t>rloss</w:t>
      </w:r>
      <w:r>
        <w:rPr>
          <w:rFonts w:cs="Times New Roman"/>
        </w:rPr>
        <w:t xml:space="preserve"> = h</w:t>
      </w:r>
      <w:r w:rsidRPr="005E2BB6">
        <w:rPr>
          <w:rFonts w:cs="Times New Roman"/>
          <w:vertAlign w:val="subscript"/>
        </w:rPr>
        <w:t>h</w:t>
      </w:r>
      <w:r>
        <w:rPr>
          <w:rFonts w:cs="Times New Roman"/>
        </w:rPr>
        <w:t xml:space="preserve"> A</w:t>
      </w:r>
      <w:r w:rsidRPr="005E2BB6">
        <w:rPr>
          <w:rFonts w:cs="Times New Roman"/>
          <w:vertAlign w:val="subscript"/>
        </w:rPr>
        <w:t>wh</w:t>
      </w:r>
      <w:r>
        <w:rPr>
          <w:rFonts w:cs="Times New Roman"/>
        </w:rPr>
        <w:t xml:space="preserve"> (T</w:t>
      </w:r>
      <w:r w:rsidRPr="005E2BB6">
        <w:rPr>
          <w:rFonts w:cs="Times New Roman"/>
          <w:vertAlign w:val="subscript"/>
        </w:rPr>
        <w:t>wh</w:t>
      </w:r>
      <w:r>
        <w:rPr>
          <w:rFonts w:cs="Times New Roman"/>
        </w:rPr>
        <w:t xml:space="preserve"> – T</w:t>
      </w:r>
      <w:r w:rsidRPr="005E2BB6">
        <w:rPr>
          <w:rFonts w:cs="Times New Roman"/>
          <w:vertAlign w:val="subscript"/>
        </w:rPr>
        <w:t>h</w:t>
      </w:r>
      <w:r>
        <w:rPr>
          <w:rFonts w:cs="Times New Roman"/>
        </w:rPr>
        <w:t>) / ƒ</w:t>
      </w:r>
    </w:p>
    <w:p w:rsidR="005E2BB6" w:rsidRDefault="005E2BB6" w:rsidP="002C1061">
      <w:pPr>
        <w:rPr>
          <w:rFonts w:cs="Times New Roman"/>
        </w:rPr>
      </w:pPr>
      <w:r>
        <w:rPr>
          <w:rFonts w:cs="Times New Roman"/>
        </w:rPr>
        <w:t>Where Q</w:t>
      </w:r>
      <w:r w:rsidRPr="005E2BB6">
        <w:rPr>
          <w:rFonts w:cs="Times New Roman"/>
          <w:vertAlign w:val="subscript"/>
        </w:rPr>
        <w:t>rloss</w:t>
      </w:r>
      <w:r>
        <w:rPr>
          <w:rFonts w:cs="Times New Roman"/>
        </w:rPr>
        <w:t xml:space="preserve"> is the regenerator heat loss.</w:t>
      </w:r>
    </w:p>
    <w:p w:rsidR="0088691A" w:rsidRDefault="0088691A" w:rsidP="0088691A">
      <w:pPr>
        <w:keepNext/>
      </w:pPr>
      <w:r w:rsidRPr="0088691A">
        <w:rPr>
          <w:noProof/>
          <w:lang w:eastAsia="en-NZ"/>
        </w:rPr>
        <w:drawing>
          <wp:inline distT="0" distB="0" distL="0" distR="0" wp14:anchorId="7E0894F7" wp14:editId="2A47C251">
            <wp:extent cx="2990850" cy="19675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97218" cy="1971691"/>
                    </a:xfrm>
                    <a:prstGeom prst="rect">
                      <a:avLst/>
                    </a:prstGeom>
                  </pic:spPr>
                </pic:pic>
              </a:graphicData>
            </a:graphic>
          </wp:inline>
        </w:drawing>
      </w:r>
    </w:p>
    <w:p w:rsidR="0088691A" w:rsidRPr="00067ACB" w:rsidRDefault="0088691A" w:rsidP="0088691A">
      <w:pPr>
        <w:pStyle w:val="Caption"/>
        <w:jc w:val="left"/>
      </w:pPr>
      <w:bookmarkStart w:id="7" w:name="_Ref370370532"/>
      <w:bookmarkStart w:id="8" w:name="_Ref370370528"/>
      <w:r>
        <w:t xml:space="preserve">Figure </w:t>
      </w:r>
      <w:r w:rsidR="008839A0">
        <w:fldChar w:fldCharType="begin"/>
      </w:r>
      <w:r w:rsidR="008839A0">
        <w:instrText xml:space="preserve"> SEQ Figure \* ARABIC </w:instrText>
      </w:r>
      <w:r w:rsidR="008839A0">
        <w:fldChar w:fldCharType="separate"/>
      </w:r>
      <w:r w:rsidR="00A029FA">
        <w:rPr>
          <w:noProof/>
        </w:rPr>
        <w:t>9</w:t>
      </w:r>
      <w:r w:rsidR="008839A0">
        <w:rPr>
          <w:noProof/>
        </w:rPr>
        <w:fldChar w:fldCharType="end"/>
      </w:r>
      <w:bookmarkEnd w:id="7"/>
      <w:r>
        <w:t xml:space="preserve"> - Simple simulation model temperature distribution</w:t>
      </w:r>
      <w:bookmarkEnd w:id="8"/>
    </w:p>
    <w:p w:rsidR="005E2BB6" w:rsidRDefault="005E2BB6" w:rsidP="002C1061">
      <w:r>
        <w:t>To determine the effect of the smaller but hotter heat exchanger used in the Sharp engine, a comparison between two Stirling engines was modelled.  Both engines were similar in all geometric parameters except heat exchanger size and type. The volume and swept volume were identical to the Sharp engine.</w:t>
      </w:r>
    </w:p>
    <w:p w:rsidR="00067ACB" w:rsidRDefault="005E2BB6" w:rsidP="002C1061">
      <w:r>
        <w:t xml:space="preserve">The conventional Stirling engine of this size most commonly uses tubes for heat transfer in the hot side. </w:t>
      </w:r>
      <w:r w:rsidR="00047556">
        <w:t xml:space="preserve">First the Reynolds friction factor is determined (Reynolds number multiplied by coefficient of friction). Because of the oscillating flow, it is assumed to always be turbulent. The Blasius relationship is therefore applied for all Reynolds numbers. This has been found the most accurate way to model the reciprocating flow </w:t>
      </w:r>
      <w:r w:rsidR="00047556">
        <w:fldChar w:fldCharType="begin" w:fldLock="1"/>
      </w:r>
      <w:r w:rsidR="008839A0">
        <w:instrText>ADDIN CSL_CITATION { "citationItems" : [ { "id" : "ITEM-1", "itemData" : { "URL" : "http://www.ohio.edu/mechanical/stirling/me422.html", "accessed" : { "date-parts" : [ [ "2013", "9", "5" ] ] }, "author" : [ { "dropping-particle" : "", "family" : "Urieli", "given" : "I", "non-dropping-particle" : "", "parse-names" : false, "suffix" : "" } ], "id" : "ITEM-1", "issued" : { "date-parts" : [ [ "2010" ] ] }, "title" : "Stirling Cycle Machine Analysis", "type" : "webpage" }, "uris" : [ "http://www.mendeley.com/documents/?uuid=78aeb776-06dd-434f-a54d-b29368b2dd77" ] } ], "mendeley" : { "previouslyFormattedCitation" : "(Urieli, 2010)" }, "properties" : { "noteIndex" : 0 }, "schema" : "https://github.com/citation-style-language/schema/raw/master/csl-citation.json" }</w:instrText>
      </w:r>
      <w:r w:rsidR="00047556">
        <w:fldChar w:fldCharType="separate"/>
      </w:r>
      <w:r w:rsidR="00047556" w:rsidRPr="008839A0">
        <w:rPr>
          <w:noProof/>
        </w:rPr>
        <w:t>(Urieli, 2010)</w:t>
      </w:r>
      <w:r w:rsidR="00047556">
        <w:fldChar w:fldCharType="end"/>
      </w:r>
      <w:r w:rsidR="00047556">
        <w:t>.</w:t>
      </w:r>
    </w:p>
    <w:p w:rsidR="005E2BB6" w:rsidRDefault="00047556" w:rsidP="002C1061">
      <w:r>
        <w:t>fr = 0.0791</w:t>
      </w:r>
      <w:r>
        <w:rPr>
          <w:rFonts w:cs="Times New Roman"/>
        </w:rPr>
        <w:t xml:space="preserve">· </w:t>
      </w:r>
      <w:r>
        <w:t>Re</w:t>
      </w:r>
      <w:r w:rsidRPr="00047556">
        <w:rPr>
          <w:vertAlign w:val="superscript"/>
        </w:rPr>
        <w:t>0.75</w:t>
      </w:r>
    </w:p>
    <w:p w:rsidR="005E2BB6" w:rsidRDefault="00047556" w:rsidP="002C1061">
      <w:r>
        <w:t>The heat transfer coefficient is determined based on the Reynolds friction factor</w:t>
      </w:r>
    </w:p>
    <w:p w:rsidR="00047556" w:rsidRDefault="00047556" w:rsidP="002C1061">
      <w:r>
        <w:t xml:space="preserve">h </w:t>
      </w:r>
      <w:r w:rsidRPr="00047556">
        <w:t>=</w:t>
      </w:r>
      <w:r>
        <w:t xml:space="preserve"> </w:t>
      </w:r>
      <w:r w:rsidRPr="00047556">
        <w:t>fr</w:t>
      </w:r>
      <w:r>
        <w:t xml:space="preserve"> </w:t>
      </w:r>
      <w:r>
        <w:rPr>
          <w:rFonts w:cs="Times New Roman"/>
        </w:rPr>
        <w:t xml:space="preserve">µ </w:t>
      </w:r>
      <w:r>
        <w:t>C</w:t>
      </w:r>
      <w:r w:rsidRPr="00047556">
        <w:rPr>
          <w:vertAlign w:val="subscript"/>
        </w:rPr>
        <w:t>p</w:t>
      </w:r>
      <w:r>
        <w:rPr>
          <w:vertAlign w:val="subscript"/>
        </w:rPr>
        <w:t xml:space="preserve"> </w:t>
      </w:r>
      <w:r w:rsidRPr="00047556">
        <w:t>/</w:t>
      </w:r>
      <w:r>
        <w:t xml:space="preserve"> (2d </w:t>
      </w:r>
      <w:r>
        <w:rPr>
          <w:rFonts w:cs="Times New Roman"/>
        </w:rPr>
        <w:t>·</w:t>
      </w:r>
      <w:r>
        <w:t xml:space="preserve"> Pr</w:t>
      </w:r>
      <w:r w:rsidRPr="00047556">
        <w:t>);</w:t>
      </w:r>
    </w:p>
    <w:p w:rsidR="00636ACA" w:rsidRDefault="00047556" w:rsidP="002C1061">
      <w:pPr>
        <w:rPr>
          <w:rFonts w:cs="Times New Roman"/>
        </w:rPr>
      </w:pPr>
      <w:r>
        <w:t xml:space="preserve">Where </w:t>
      </w:r>
      <w:r>
        <w:rPr>
          <w:rFonts w:cs="Times New Roman"/>
        </w:rPr>
        <w:t>µ is the dynamic viscosity, C</w:t>
      </w:r>
      <w:r>
        <w:rPr>
          <w:rFonts w:cs="Times New Roman"/>
          <w:vertAlign w:val="subscript"/>
        </w:rPr>
        <w:t>p</w:t>
      </w:r>
      <w:r>
        <w:rPr>
          <w:rFonts w:cs="Times New Roman"/>
        </w:rPr>
        <w:t xml:space="preserve"> is the specific heat capacity at constant pressure, Pr is the Prandtl number and d is the hydraulic diameter.</w:t>
      </w:r>
    </w:p>
    <w:p w:rsidR="00636ACA" w:rsidRDefault="00636ACA" w:rsidP="002C1061">
      <w:pPr>
        <w:rPr>
          <w:rFonts w:cs="Times New Roman"/>
        </w:rPr>
      </w:pPr>
      <w:r>
        <w:rPr>
          <w:rFonts w:cs="Times New Roman"/>
        </w:rPr>
        <w:t xml:space="preserve">The only difference in the heat transfer coefficients </w:t>
      </w:r>
    </w:p>
    <w:p w:rsidR="00047556" w:rsidRDefault="00047556" w:rsidP="002C1061">
      <w:pPr>
        <w:rPr>
          <w:rFonts w:cs="Times New Roman"/>
        </w:rPr>
      </w:pPr>
      <w:r>
        <w:rPr>
          <w:rFonts w:cs="Times New Roman"/>
        </w:rPr>
        <w:t>A comparison between the Sharp and conventional Stirling engine modelled shows the Sharp engine does have a lower heat transfer area, but is assumed to be at a higher temperature</w:t>
      </w:r>
      <w:r w:rsidR="0084513D">
        <w:rPr>
          <w:rFonts w:cs="Times New Roman"/>
        </w:rPr>
        <w:t xml:space="preserve"> ()</w:t>
      </w:r>
      <w:r>
        <w:rPr>
          <w:rFonts w:cs="Times New Roman"/>
        </w:rPr>
        <w:t>.</w:t>
      </w:r>
    </w:p>
    <w:p w:rsidR="0084513D" w:rsidRDefault="0084513D" w:rsidP="0084513D">
      <w:pPr>
        <w:tabs>
          <w:tab w:val="left" w:pos="5515"/>
        </w:tabs>
        <w:rPr>
          <w:rFonts w:cs="Times New Roman"/>
        </w:rPr>
      </w:pPr>
      <w:r>
        <w:rPr>
          <w:rFonts w:cs="Times New Roman"/>
        </w:rPr>
        <w:t>There is also a third engine for some reason, not known to man.</w:t>
      </w:r>
      <w:r>
        <w:rPr>
          <w:rFonts w:cs="Times New Roman"/>
        </w:rPr>
        <w:tab/>
      </w:r>
    </w:p>
    <w:p w:rsidR="0084513D" w:rsidRDefault="0084513D" w:rsidP="0084513D">
      <w:pPr>
        <w:pStyle w:val="Caption"/>
        <w:keepNext/>
      </w:pPr>
      <w:r>
        <w:t xml:space="preserve">Table </w:t>
      </w:r>
      <w:r w:rsidR="008839A0">
        <w:fldChar w:fldCharType="begin"/>
      </w:r>
      <w:r w:rsidR="008839A0">
        <w:instrText xml:space="preserve"> SEQ Table \* ARABIC </w:instrText>
      </w:r>
      <w:r w:rsidR="008839A0">
        <w:fldChar w:fldCharType="separate"/>
      </w:r>
      <w:r>
        <w:rPr>
          <w:noProof/>
        </w:rPr>
        <w:t>1</w:t>
      </w:r>
      <w:r w:rsidR="008839A0">
        <w:rPr>
          <w:noProof/>
        </w:rPr>
        <w:fldChar w:fldCharType="end"/>
      </w:r>
      <w:r>
        <w:rPr>
          <w:noProof/>
        </w:rPr>
        <w:t xml:space="preserve"> - Heat exchanger parameters of modelled engines</w:t>
      </w:r>
    </w:p>
    <w:tbl>
      <w:tblPr>
        <w:tblStyle w:val="LightShading"/>
        <w:tblW w:w="0" w:type="auto"/>
        <w:tblLook w:val="04A0" w:firstRow="1" w:lastRow="0" w:firstColumn="1" w:lastColumn="0" w:noHBand="0" w:noVBand="1"/>
      </w:tblPr>
      <w:tblGrid>
        <w:gridCol w:w="959"/>
        <w:gridCol w:w="1843"/>
        <w:gridCol w:w="1842"/>
        <w:gridCol w:w="1418"/>
      </w:tblGrid>
      <w:tr w:rsidR="00636ACA" w:rsidTr="00845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36ACA" w:rsidRDefault="00636ACA" w:rsidP="002C1061">
            <w:pPr>
              <w:rPr>
                <w:rFonts w:cs="Times New Roman"/>
              </w:rPr>
            </w:pPr>
          </w:p>
        </w:tc>
        <w:tc>
          <w:tcPr>
            <w:tcW w:w="1843" w:type="dxa"/>
          </w:tcPr>
          <w:p w:rsidR="00636ACA" w:rsidRDefault="00056704" w:rsidP="00056704">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Conventional</w:t>
            </w:r>
          </w:p>
        </w:tc>
        <w:tc>
          <w:tcPr>
            <w:tcW w:w="1842" w:type="dxa"/>
          </w:tcPr>
          <w:p w:rsidR="00636ACA" w:rsidRDefault="00636ACA" w:rsidP="002C1061">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Conventional</w:t>
            </w:r>
            <w:r w:rsidR="00056704">
              <w:rPr>
                <w:rFonts w:cs="Times New Roman"/>
              </w:rPr>
              <w:t xml:space="preserve"> Slots</w:t>
            </w:r>
          </w:p>
        </w:tc>
        <w:tc>
          <w:tcPr>
            <w:tcW w:w="1418" w:type="dxa"/>
          </w:tcPr>
          <w:p w:rsidR="00636ACA" w:rsidRDefault="00056704" w:rsidP="002C1061">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Sharp</w:t>
            </w:r>
          </w:p>
        </w:tc>
      </w:tr>
      <w:tr w:rsidR="00636ACA" w:rsidTr="00845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36ACA" w:rsidRDefault="004A35D1" w:rsidP="002C1061">
            <w:pPr>
              <w:rPr>
                <w:rFonts w:cs="Times New Roman"/>
              </w:rPr>
            </w:pPr>
            <w:r>
              <w:rPr>
                <w:rFonts w:cs="Times New Roman"/>
              </w:rPr>
              <w:t xml:space="preserve">Hx </w:t>
            </w:r>
            <w:r w:rsidR="00636ACA">
              <w:rPr>
                <w:rFonts w:cs="Times New Roman"/>
              </w:rPr>
              <w:t>Type</w:t>
            </w:r>
          </w:p>
        </w:tc>
        <w:tc>
          <w:tcPr>
            <w:tcW w:w="1843" w:type="dxa"/>
          </w:tcPr>
          <w:p w:rsidR="00636ACA" w:rsidRDefault="00056704" w:rsidP="002C106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Tubes</w:t>
            </w:r>
            <w:r w:rsidR="00636ACA">
              <w:rPr>
                <w:rFonts w:cs="Times New Roman"/>
              </w:rPr>
              <w:t xml:space="preserve"> </w:t>
            </w:r>
          </w:p>
        </w:tc>
        <w:tc>
          <w:tcPr>
            <w:tcW w:w="1842" w:type="dxa"/>
          </w:tcPr>
          <w:p w:rsidR="00636ACA" w:rsidRDefault="00056704" w:rsidP="002C106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Slots</w:t>
            </w:r>
          </w:p>
        </w:tc>
        <w:tc>
          <w:tcPr>
            <w:tcW w:w="1418" w:type="dxa"/>
          </w:tcPr>
          <w:p w:rsidR="00636ACA" w:rsidRDefault="00056704" w:rsidP="002C106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Slots</w:t>
            </w:r>
          </w:p>
        </w:tc>
      </w:tr>
      <w:tr w:rsidR="00636ACA" w:rsidTr="0084513D">
        <w:tc>
          <w:tcPr>
            <w:cnfStyle w:val="001000000000" w:firstRow="0" w:lastRow="0" w:firstColumn="1" w:lastColumn="0" w:oddVBand="0" w:evenVBand="0" w:oddHBand="0" w:evenHBand="0" w:firstRowFirstColumn="0" w:firstRowLastColumn="0" w:lastRowFirstColumn="0" w:lastRowLastColumn="0"/>
            <w:tcW w:w="959" w:type="dxa"/>
          </w:tcPr>
          <w:p w:rsidR="00636ACA" w:rsidRDefault="00636ACA" w:rsidP="002C1061">
            <w:pPr>
              <w:rPr>
                <w:rFonts w:cs="Times New Roman"/>
              </w:rPr>
            </w:pPr>
            <w:r>
              <w:rPr>
                <w:rFonts w:cs="Times New Roman"/>
              </w:rPr>
              <w:t>T</w:t>
            </w:r>
            <w:r w:rsidRPr="00056704">
              <w:rPr>
                <w:rFonts w:cs="Times New Roman"/>
                <w:vertAlign w:val="subscript"/>
              </w:rPr>
              <w:t>h</w:t>
            </w:r>
          </w:p>
        </w:tc>
        <w:tc>
          <w:tcPr>
            <w:tcW w:w="1843" w:type="dxa"/>
          </w:tcPr>
          <w:p w:rsidR="00636ACA" w:rsidRDefault="00056704" w:rsidP="002C106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700ºC</w:t>
            </w:r>
          </w:p>
        </w:tc>
        <w:tc>
          <w:tcPr>
            <w:tcW w:w="1842" w:type="dxa"/>
          </w:tcPr>
          <w:p w:rsidR="00636ACA" w:rsidRDefault="00056704" w:rsidP="002C106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1200ºC</w:t>
            </w:r>
          </w:p>
        </w:tc>
        <w:tc>
          <w:tcPr>
            <w:tcW w:w="1418" w:type="dxa"/>
          </w:tcPr>
          <w:p w:rsidR="00636ACA" w:rsidRDefault="00056704" w:rsidP="002C106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1200ºC</w:t>
            </w:r>
          </w:p>
        </w:tc>
      </w:tr>
      <w:tr w:rsidR="00636ACA" w:rsidTr="00845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36ACA" w:rsidRDefault="00056704" w:rsidP="002C1061">
            <w:pPr>
              <w:rPr>
                <w:rFonts w:cs="Times New Roman"/>
              </w:rPr>
            </w:pPr>
            <w:r>
              <w:rPr>
                <w:rFonts w:cs="Times New Roman"/>
              </w:rPr>
              <w:t>A</w:t>
            </w:r>
            <w:r w:rsidRPr="00056704">
              <w:rPr>
                <w:rFonts w:cs="Times New Roman"/>
                <w:vertAlign w:val="subscript"/>
              </w:rPr>
              <w:t>w</w:t>
            </w:r>
          </w:p>
        </w:tc>
        <w:tc>
          <w:tcPr>
            <w:tcW w:w="1843" w:type="dxa"/>
          </w:tcPr>
          <w:p w:rsidR="00636ACA" w:rsidRPr="003E106F" w:rsidRDefault="003E106F" w:rsidP="002C1061">
            <w:pPr>
              <w:cnfStyle w:val="000000100000" w:firstRow="0" w:lastRow="0" w:firstColumn="0" w:lastColumn="0" w:oddVBand="0" w:evenVBand="0" w:oddHBand="1" w:evenHBand="0" w:firstRowFirstColumn="0" w:firstRowLastColumn="0" w:lastRowFirstColumn="0" w:lastRowLastColumn="0"/>
              <w:rPr>
                <w:rFonts w:cs="Times New Roman"/>
                <w:vertAlign w:val="superscript"/>
              </w:rPr>
            </w:pPr>
            <w:r>
              <w:rPr>
                <w:rFonts w:cs="Times New Roman"/>
              </w:rPr>
              <w:t>7.147×10</w:t>
            </w:r>
            <w:r>
              <w:rPr>
                <w:rFonts w:cs="Times New Roman"/>
                <w:vertAlign w:val="superscript"/>
              </w:rPr>
              <w:t>-2</w:t>
            </w:r>
            <w:r>
              <w:rPr>
                <w:rFonts w:cs="Times New Roman"/>
              </w:rPr>
              <w:t xml:space="preserve"> m</w:t>
            </w:r>
            <w:r>
              <w:rPr>
                <w:rFonts w:cs="Times New Roman"/>
                <w:vertAlign w:val="superscript"/>
              </w:rPr>
              <w:t>2</w:t>
            </w:r>
          </w:p>
        </w:tc>
        <w:tc>
          <w:tcPr>
            <w:tcW w:w="1842" w:type="dxa"/>
          </w:tcPr>
          <w:p w:rsidR="00636ACA" w:rsidRDefault="003E106F" w:rsidP="002C106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3.6×10</w:t>
            </w:r>
            <w:r>
              <w:rPr>
                <w:rFonts w:cs="Times New Roman"/>
                <w:vertAlign w:val="superscript"/>
              </w:rPr>
              <w:t>-2</w:t>
            </w:r>
            <w:r>
              <w:rPr>
                <w:rFonts w:cs="Times New Roman"/>
              </w:rPr>
              <w:t xml:space="preserve"> m</w:t>
            </w:r>
            <w:r>
              <w:rPr>
                <w:rFonts w:cs="Times New Roman"/>
                <w:vertAlign w:val="superscript"/>
              </w:rPr>
              <w:t>2</w:t>
            </w:r>
          </w:p>
        </w:tc>
        <w:tc>
          <w:tcPr>
            <w:tcW w:w="1418" w:type="dxa"/>
          </w:tcPr>
          <w:p w:rsidR="00636ACA" w:rsidRDefault="003E106F" w:rsidP="002C106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3.6×10</w:t>
            </w:r>
            <w:r>
              <w:rPr>
                <w:rFonts w:cs="Times New Roman"/>
                <w:vertAlign w:val="superscript"/>
              </w:rPr>
              <w:t>-2</w:t>
            </w:r>
            <w:r>
              <w:rPr>
                <w:rFonts w:cs="Times New Roman"/>
              </w:rPr>
              <w:t xml:space="preserve"> m</w:t>
            </w:r>
            <w:r>
              <w:rPr>
                <w:rFonts w:cs="Times New Roman"/>
                <w:vertAlign w:val="superscript"/>
              </w:rPr>
              <w:t>2</w:t>
            </w:r>
          </w:p>
        </w:tc>
      </w:tr>
      <w:tr w:rsidR="00636ACA" w:rsidTr="0084513D">
        <w:tc>
          <w:tcPr>
            <w:cnfStyle w:val="001000000000" w:firstRow="0" w:lastRow="0" w:firstColumn="1" w:lastColumn="0" w:oddVBand="0" w:evenVBand="0" w:oddHBand="0" w:evenHBand="0" w:firstRowFirstColumn="0" w:firstRowLastColumn="0" w:lastRowFirstColumn="0" w:lastRowLastColumn="0"/>
            <w:tcW w:w="959" w:type="dxa"/>
          </w:tcPr>
          <w:p w:rsidR="00636ACA" w:rsidRPr="003E106F" w:rsidRDefault="003E106F" w:rsidP="002C1061">
            <w:pPr>
              <w:rPr>
                <w:rFonts w:cs="Times New Roman"/>
                <w:vertAlign w:val="subscript"/>
              </w:rPr>
            </w:pPr>
            <w:r>
              <w:rPr>
                <w:rFonts w:cs="Times New Roman"/>
              </w:rPr>
              <w:t>V</w:t>
            </w:r>
            <w:r>
              <w:rPr>
                <w:rFonts w:cs="Times New Roman"/>
                <w:vertAlign w:val="subscript"/>
              </w:rPr>
              <w:t>h</w:t>
            </w:r>
          </w:p>
        </w:tc>
        <w:tc>
          <w:tcPr>
            <w:tcW w:w="1843" w:type="dxa"/>
          </w:tcPr>
          <w:p w:rsidR="00636ACA" w:rsidRDefault="003E106F" w:rsidP="002C106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8.13×10</w:t>
            </w:r>
            <w:r>
              <w:rPr>
                <w:rFonts w:cs="Times New Roman"/>
                <w:vertAlign w:val="superscript"/>
              </w:rPr>
              <w:t>-5</w:t>
            </w:r>
            <w:r>
              <w:rPr>
                <w:rFonts w:cs="Times New Roman"/>
              </w:rPr>
              <w:t xml:space="preserve"> m</w:t>
            </w:r>
            <w:r>
              <w:rPr>
                <w:rFonts w:cs="Times New Roman"/>
                <w:vertAlign w:val="superscript"/>
              </w:rPr>
              <w:t>3</w:t>
            </w:r>
          </w:p>
        </w:tc>
        <w:tc>
          <w:tcPr>
            <w:tcW w:w="1842" w:type="dxa"/>
          </w:tcPr>
          <w:p w:rsidR="00636ACA" w:rsidRDefault="003E106F" w:rsidP="002C106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9×10</w:t>
            </w:r>
            <w:r>
              <w:rPr>
                <w:rFonts w:cs="Times New Roman"/>
                <w:vertAlign w:val="superscript"/>
              </w:rPr>
              <w:t>-5</w:t>
            </w:r>
            <w:r>
              <w:rPr>
                <w:rFonts w:cs="Times New Roman"/>
              </w:rPr>
              <w:t xml:space="preserve"> m</w:t>
            </w:r>
            <w:r>
              <w:rPr>
                <w:rFonts w:cs="Times New Roman"/>
                <w:vertAlign w:val="superscript"/>
              </w:rPr>
              <w:t>3</w:t>
            </w:r>
          </w:p>
        </w:tc>
        <w:tc>
          <w:tcPr>
            <w:tcW w:w="1418" w:type="dxa"/>
          </w:tcPr>
          <w:p w:rsidR="00636ACA" w:rsidRDefault="003E106F" w:rsidP="002C106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9×10</w:t>
            </w:r>
            <w:r>
              <w:rPr>
                <w:rFonts w:cs="Times New Roman"/>
                <w:vertAlign w:val="superscript"/>
              </w:rPr>
              <w:t>-5</w:t>
            </w:r>
            <w:r>
              <w:rPr>
                <w:rFonts w:cs="Times New Roman"/>
              </w:rPr>
              <w:t xml:space="preserve"> m</w:t>
            </w:r>
            <w:r>
              <w:rPr>
                <w:rFonts w:cs="Times New Roman"/>
                <w:vertAlign w:val="superscript"/>
              </w:rPr>
              <w:t>3</w:t>
            </w:r>
          </w:p>
        </w:tc>
      </w:tr>
      <w:tr w:rsidR="00636ACA" w:rsidTr="00845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36ACA" w:rsidRDefault="004A35D1" w:rsidP="002C1061">
            <w:pPr>
              <w:rPr>
                <w:rFonts w:cs="Times New Roman"/>
              </w:rPr>
            </w:pPr>
            <w:r>
              <w:rPr>
                <w:rFonts w:cs="Times New Roman"/>
              </w:rPr>
              <w:t>Vc</w:t>
            </w:r>
          </w:p>
        </w:tc>
        <w:tc>
          <w:tcPr>
            <w:tcW w:w="1843" w:type="dxa"/>
          </w:tcPr>
          <w:p w:rsidR="00636ACA" w:rsidRDefault="004A35D1" w:rsidP="002C106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2.45×10</w:t>
            </w:r>
            <w:r>
              <w:rPr>
                <w:rFonts w:cs="Times New Roman"/>
                <w:vertAlign w:val="superscript"/>
              </w:rPr>
              <w:t>-4</w:t>
            </w:r>
            <w:r>
              <w:rPr>
                <w:rFonts w:cs="Times New Roman"/>
              </w:rPr>
              <w:t xml:space="preserve"> m</w:t>
            </w:r>
            <w:r>
              <w:rPr>
                <w:rFonts w:cs="Times New Roman"/>
                <w:vertAlign w:val="superscript"/>
              </w:rPr>
              <w:t>3</w:t>
            </w:r>
          </w:p>
        </w:tc>
        <w:tc>
          <w:tcPr>
            <w:tcW w:w="1842" w:type="dxa"/>
          </w:tcPr>
          <w:p w:rsidR="00636ACA" w:rsidRDefault="004A35D1" w:rsidP="002C106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2.45×10</w:t>
            </w:r>
            <w:r>
              <w:rPr>
                <w:rFonts w:cs="Times New Roman"/>
                <w:vertAlign w:val="superscript"/>
              </w:rPr>
              <w:t>-4</w:t>
            </w:r>
            <w:r>
              <w:rPr>
                <w:rFonts w:cs="Times New Roman"/>
              </w:rPr>
              <w:t xml:space="preserve"> m</w:t>
            </w:r>
            <w:r>
              <w:rPr>
                <w:rFonts w:cs="Times New Roman"/>
                <w:vertAlign w:val="superscript"/>
              </w:rPr>
              <w:t>3</w:t>
            </w:r>
          </w:p>
        </w:tc>
        <w:tc>
          <w:tcPr>
            <w:tcW w:w="1418" w:type="dxa"/>
          </w:tcPr>
          <w:p w:rsidR="00636ACA" w:rsidRDefault="004A35D1" w:rsidP="002C106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15×10</w:t>
            </w:r>
            <w:r>
              <w:rPr>
                <w:rFonts w:cs="Times New Roman"/>
                <w:vertAlign w:val="superscript"/>
              </w:rPr>
              <w:t>-4</w:t>
            </w:r>
            <w:r>
              <w:rPr>
                <w:rFonts w:cs="Times New Roman"/>
              </w:rPr>
              <w:t xml:space="preserve"> m</w:t>
            </w:r>
            <w:r>
              <w:rPr>
                <w:rFonts w:cs="Times New Roman"/>
                <w:vertAlign w:val="superscript"/>
              </w:rPr>
              <w:t>3</w:t>
            </w:r>
          </w:p>
        </w:tc>
      </w:tr>
      <w:tr w:rsidR="004A35D1" w:rsidTr="0084513D">
        <w:tc>
          <w:tcPr>
            <w:cnfStyle w:val="001000000000" w:firstRow="0" w:lastRow="0" w:firstColumn="1" w:lastColumn="0" w:oddVBand="0" w:evenVBand="0" w:oddHBand="0" w:evenHBand="0" w:firstRowFirstColumn="0" w:firstRowLastColumn="0" w:lastRowFirstColumn="0" w:lastRowLastColumn="0"/>
            <w:tcW w:w="959" w:type="dxa"/>
          </w:tcPr>
          <w:p w:rsidR="004A35D1" w:rsidRDefault="004A35D1" w:rsidP="002C1061">
            <w:pPr>
              <w:rPr>
                <w:rFonts w:cs="Times New Roman"/>
              </w:rPr>
            </w:pPr>
            <w:r>
              <w:rPr>
                <w:rFonts w:cs="Times New Roman"/>
              </w:rPr>
              <w:t>Vh</w:t>
            </w:r>
          </w:p>
        </w:tc>
        <w:tc>
          <w:tcPr>
            <w:tcW w:w="1843" w:type="dxa"/>
          </w:tcPr>
          <w:p w:rsidR="004A35D1" w:rsidRDefault="004A35D1" w:rsidP="002C106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2.45×10</w:t>
            </w:r>
            <w:r>
              <w:rPr>
                <w:rFonts w:cs="Times New Roman"/>
                <w:vertAlign w:val="superscript"/>
              </w:rPr>
              <w:t>-4</w:t>
            </w:r>
            <w:r>
              <w:rPr>
                <w:rFonts w:cs="Times New Roman"/>
              </w:rPr>
              <w:t xml:space="preserve"> m</w:t>
            </w:r>
            <w:r>
              <w:rPr>
                <w:rFonts w:cs="Times New Roman"/>
                <w:vertAlign w:val="superscript"/>
              </w:rPr>
              <w:t>3</w:t>
            </w:r>
          </w:p>
        </w:tc>
        <w:tc>
          <w:tcPr>
            <w:tcW w:w="1842" w:type="dxa"/>
          </w:tcPr>
          <w:p w:rsidR="004A35D1" w:rsidRDefault="004A35D1" w:rsidP="002C106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2.45×10</w:t>
            </w:r>
            <w:r>
              <w:rPr>
                <w:rFonts w:cs="Times New Roman"/>
                <w:vertAlign w:val="superscript"/>
              </w:rPr>
              <w:t>-4</w:t>
            </w:r>
            <w:r>
              <w:rPr>
                <w:rFonts w:cs="Times New Roman"/>
              </w:rPr>
              <w:t xml:space="preserve"> m</w:t>
            </w:r>
            <w:r>
              <w:rPr>
                <w:rFonts w:cs="Times New Roman"/>
                <w:vertAlign w:val="superscript"/>
              </w:rPr>
              <w:t>3</w:t>
            </w:r>
          </w:p>
        </w:tc>
        <w:tc>
          <w:tcPr>
            <w:tcW w:w="1418" w:type="dxa"/>
          </w:tcPr>
          <w:p w:rsidR="004A35D1" w:rsidRDefault="004A35D1" w:rsidP="002C106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8.76×10</w:t>
            </w:r>
            <w:r>
              <w:rPr>
                <w:rFonts w:cs="Times New Roman"/>
                <w:vertAlign w:val="superscript"/>
              </w:rPr>
              <w:t>-4</w:t>
            </w:r>
            <w:r>
              <w:rPr>
                <w:rFonts w:cs="Times New Roman"/>
              </w:rPr>
              <w:t xml:space="preserve"> m</w:t>
            </w:r>
            <w:r>
              <w:rPr>
                <w:rFonts w:cs="Times New Roman"/>
                <w:vertAlign w:val="superscript"/>
              </w:rPr>
              <w:t>3</w:t>
            </w:r>
          </w:p>
        </w:tc>
      </w:tr>
      <w:tr w:rsidR="004A35D1" w:rsidTr="00845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A35D1" w:rsidRDefault="004A35D1" w:rsidP="002C1061">
            <w:pPr>
              <w:rPr>
                <w:rFonts w:cs="Times New Roman"/>
              </w:rPr>
            </w:pPr>
            <w:r>
              <w:rPr>
                <w:rFonts w:cs="Times New Roman"/>
              </w:rPr>
              <w:t>Cooler tubes</w:t>
            </w:r>
          </w:p>
        </w:tc>
        <w:tc>
          <w:tcPr>
            <w:tcW w:w="1843" w:type="dxa"/>
          </w:tcPr>
          <w:p w:rsidR="004A35D1" w:rsidRDefault="004A35D1" w:rsidP="002C106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50</w:t>
            </w:r>
          </w:p>
        </w:tc>
        <w:tc>
          <w:tcPr>
            <w:tcW w:w="1842" w:type="dxa"/>
          </w:tcPr>
          <w:p w:rsidR="004A35D1" w:rsidRDefault="004A35D1" w:rsidP="002C106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50</w:t>
            </w:r>
          </w:p>
        </w:tc>
        <w:tc>
          <w:tcPr>
            <w:tcW w:w="1418" w:type="dxa"/>
          </w:tcPr>
          <w:p w:rsidR="004A35D1" w:rsidRDefault="004A35D1" w:rsidP="002C106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100</w:t>
            </w:r>
          </w:p>
        </w:tc>
      </w:tr>
    </w:tbl>
    <w:p w:rsidR="008E1323" w:rsidRDefault="008E1323" w:rsidP="002C1061"/>
    <w:p w:rsidR="002C1061" w:rsidRDefault="002C1061" w:rsidP="002C1061">
      <w:pPr>
        <w:pStyle w:val="Heading1"/>
      </w:pPr>
      <w:r>
        <w:t>Results and Discussion</w:t>
      </w:r>
    </w:p>
    <w:tbl>
      <w:tblPr>
        <w:tblStyle w:val="LightShading"/>
        <w:tblW w:w="0" w:type="auto"/>
        <w:tblLook w:val="04A0" w:firstRow="1" w:lastRow="0" w:firstColumn="1" w:lastColumn="0" w:noHBand="0" w:noVBand="1"/>
      </w:tblPr>
      <w:tblGrid>
        <w:gridCol w:w="1072"/>
        <w:gridCol w:w="1466"/>
        <w:gridCol w:w="1465"/>
        <w:gridCol w:w="1128"/>
      </w:tblGrid>
      <w:tr w:rsidR="00363CD3" w:rsidTr="00821AD1">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852" w:type="dxa"/>
          </w:tcPr>
          <w:p w:rsidR="00363CD3" w:rsidRDefault="00363CD3" w:rsidP="004D31DC">
            <w:pPr>
              <w:rPr>
                <w:rFonts w:cs="Times New Roman"/>
              </w:rPr>
            </w:pPr>
          </w:p>
        </w:tc>
        <w:tc>
          <w:tcPr>
            <w:tcW w:w="1466" w:type="dxa"/>
          </w:tcPr>
          <w:p w:rsidR="00363CD3" w:rsidRDefault="00363CD3" w:rsidP="004D31DC">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Conventional</w:t>
            </w:r>
          </w:p>
        </w:tc>
        <w:tc>
          <w:tcPr>
            <w:tcW w:w="1465" w:type="dxa"/>
          </w:tcPr>
          <w:p w:rsidR="00363CD3" w:rsidRDefault="00363CD3" w:rsidP="004D31DC">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Conventional Slots</w:t>
            </w:r>
          </w:p>
        </w:tc>
        <w:tc>
          <w:tcPr>
            <w:tcW w:w="1128" w:type="dxa"/>
          </w:tcPr>
          <w:p w:rsidR="00363CD3" w:rsidRDefault="00363CD3" w:rsidP="004D31DC">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Sharp</w:t>
            </w:r>
          </w:p>
        </w:tc>
      </w:tr>
      <w:tr w:rsidR="00363CD3" w:rsidTr="00821AD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2" w:type="dxa"/>
          </w:tcPr>
          <w:p w:rsidR="00363CD3" w:rsidRDefault="00363CD3" w:rsidP="004D31DC">
            <w:pPr>
              <w:rPr>
                <w:rFonts w:cs="Times New Roman"/>
              </w:rPr>
            </w:pPr>
            <w:r>
              <w:rPr>
                <w:rFonts w:cs="Times New Roman"/>
              </w:rPr>
              <w:t>Power</w:t>
            </w:r>
          </w:p>
        </w:tc>
        <w:tc>
          <w:tcPr>
            <w:tcW w:w="1466" w:type="dxa"/>
          </w:tcPr>
          <w:p w:rsidR="00363CD3" w:rsidRDefault="00363CD3" w:rsidP="004D31D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419 W</w:t>
            </w:r>
          </w:p>
        </w:tc>
        <w:tc>
          <w:tcPr>
            <w:tcW w:w="1465" w:type="dxa"/>
          </w:tcPr>
          <w:p w:rsidR="00363CD3" w:rsidRDefault="00821AD1" w:rsidP="004D31D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564 W</w:t>
            </w:r>
          </w:p>
        </w:tc>
        <w:tc>
          <w:tcPr>
            <w:tcW w:w="1128" w:type="dxa"/>
          </w:tcPr>
          <w:p w:rsidR="00363CD3" w:rsidRDefault="00821AD1" w:rsidP="004D31D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921 W</w:t>
            </w:r>
          </w:p>
        </w:tc>
      </w:tr>
      <w:tr w:rsidR="00363CD3" w:rsidTr="00821AD1">
        <w:trPr>
          <w:trHeight w:val="214"/>
        </w:trPr>
        <w:tc>
          <w:tcPr>
            <w:cnfStyle w:val="001000000000" w:firstRow="0" w:lastRow="0" w:firstColumn="1" w:lastColumn="0" w:oddVBand="0" w:evenVBand="0" w:oddHBand="0" w:evenHBand="0" w:firstRowFirstColumn="0" w:firstRowLastColumn="0" w:lastRowFirstColumn="0" w:lastRowLastColumn="0"/>
            <w:tcW w:w="852" w:type="dxa"/>
          </w:tcPr>
          <w:p w:rsidR="00363CD3" w:rsidRDefault="00363CD3" w:rsidP="004D31DC">
            <w:pPr>
              <w:rPr>
                <w:rFonts w:cs="Times New Roman"/>
              </w:rPr>
            </w:pPr>
            <w:r>
              <w:rPr>
                <w:rFonts w:cs="Times New Roman"/>
              </w:rPr>
              <w:t>Efficiency</w:t>
            </w:r>
          </w:p>
        </w:tc>
        <w:tc>
          <w:tcPr>
            <w:tcW w:w="1466" w:type="dxa"/>
          </w:tcPr>
          <w:p w:rsidR="00363CD3" w:rsidRDefault="00363CD3" w:rsidP="004D31DC">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37%</w:t>
            </w:r>
          </w:p>
        </w:tc>
        <w:tc>
          <w:tcPr>
            <w:tcW w:w="1465" w:type="dxa"/>
          </w:tcPr>
          <w:p w:rsidR="00363CD3" w:rsidRDefault="00821AD1" w:rsidP="004D31DC">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48%</w:t>
            </w:r>
          </w:p>
        </w:tc>
        <w:tc>
          <w:tcPr>
            <w:tcW w:w="1128" w:type="dxa"/>
          </w:tcPr>
          <w:p w:rsidR="00363CD3" w:rsidRDefault="00821AD1" w:rsidP="004D31DC">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32%</w:t>
            </w:r>
          </w:p>
        </w:tc>
      </w:tr>
      <w:tr w:rsidR="00363CD3" w:rsidTr="00821AD1">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52" w:type="dxa"/>
          </w:tcPr>
          <w:p w:rsidR="00363CD3" w:rsidRDefault="00363CD3" w:rsidP="004D31DC">
            <w:pPr>
              <w:rPr>
                <w:rFonts w:cs="Times New Roman"/>
              </w:rPr>
            </w:pPr>
            <w:r>
              <w:rPr>
                <w:rFonts w:cs="Times New Roman"/>
              </w:rPr>
              <w:t>Carnot Efficiency</w:t>
            </w:r>
          </w:p>
        </w:tc>
        <w:tc>
          <w:tcPr>
            <w:tcW w:w="1466" w:type="dxa"/>
          </w:tcPr>
          <w:p w:rsidR="00363CD3" w:rsidRPr="00363CD3" w:rsidRDefault="00821AD1" w:rsidP="004D31D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70%</w:t>
            </w:r>
          </w:p>
        </w:tc>
        <w:tc>
          <w:tcPr>
            <w:tcW w:w="1465" w:type="dxa"/>
          </w:tcPr>
          <w:p w:rsidR="00363CD3" w:rsidRDefault="00821AD1" w:rsidP="004D31D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80%</w:t>
            </w:r>
          </w:p>
        </w:tc>
        <w:tc>
          <w:tcPr>
            <w:tcW w:w="1128" w:type="dxa"/>
          </w:tcPr>
          <w:p w:rsidR="00363CD3" w:rsidRDefault="00821AD1" w:rsidP="004D31D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80%</w:t>
            </w:r>
          </w:p>
        </w:tc>
      </w:tr>
      <w:tr w:rsidR="00363CD3" w:rsidTr="00821AD1">
        <w:trPr>
          <w:trHeight w:val="428"/>
        </w:trPr>
        <w:tc>
          <w:tcPr>
            <w:cnfStyle w:val="001000000000" w:firstRow="0" w:lastRow="0" w:firstColumn="1" w:lastColumn="0" w:oddVBand="0" w:evenVBand="0" w:oddHBand="0" w:evenHBand="0" w:firstRowFirstColumn="0" w:firstRowLastColumn="0" w:lastRowFirstColumn="0" w:lastRowLastColumn="0"/>
            <w:tcW w:w="852" w:type="dxa"/>
          </w:tcPr>
          <w:p w:rsidR="00363CD3" w:rsidRPr="00363CD3" w:rsidRDefault="00363CD3" w:rsidP="004D31DC">
            <w:pPr>
              <w:rPr>
                <w:rFonts w:cs="Times New Roman"/>
              </w:rPr>
            </w:pPr>
            <w:r>
              <w:rPr>
                <w:rFonts w:cs="Times New Roman"/>
              </w:rPr>
              <w:t>Pressure Loss</w:t>
            </w:r>
          </w:p>
        </w:tc>
        <w:tc>
          <w:tcPr>
            <w:tcW w:w="1466" w:type="dxa"/>
          </w:tcPr>
          <w:p w:rsidR="00363CD3" w:rsidRDefault="00821AD1" w:rsidP="004D31DC">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126 W</w:t>
            </w:r>
          </w:p>
        </w:tc>
        <w:tc>
          <w:tcPr>
            <w:tcW w:w="1465" w:type="dxa"/>
          </w:tcPr>
          <w:p w:rsidR="00363CD3" w:rsidRDefault="00821AD1" w:rsidP="004D31DC">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70 W</w:t>
            </w:r>
          </w:p>
        </w:tc>
        <w:tc>
          <w:tcPr>
            <w:tcW w:w="1128" w:type="dxa"/>
          </w:tcPr>
          <w:p w:rsidR="00363CD3" w:rsidRDefault="00821AD1" w:rsidP="004D31DC">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147 W</w:t>
            </w:r>
          </w:p>
        </w:tc>
      </w:tr>
    </w:tbl>
    <w:p w:rsidR="00363CD3" w:rsidRDefault="00363CD3" w:rsidP="00363CD3"/>
    <w:p w:rsidR="00363CD3" w:rsidRPr="00363CD3" w:rsidRDefault="00363CD3" w:rsidP="00363CD3"/>
    <w:p w:rsidR="002C1061" w:rsidRDefault="00363CD3" w:rsidP="002C1061">
      <w:r>
        <w:t>(</w:t>
      </w:r>
      <w:r w:rsidR="008E1323">
        <w:t>Effect of each of the things that make Rodneys engine different.</w:t>
      </w:r>
      <w:r>
        <w:t>)</w:t>
      </w:r>
    </w:p>
    <w:p w:rsidR="00363CD3" w:rsidRPr="00047556" w:rsidRDefault="00363CD3" w:rsidP="00363CD3">
      <w:r>
        <w:t xml:space="preserve">In the discussion, state that the assumptions made for the heater are not that accurate. </w:t>
      </w:r>
    </w:p>
    <w:p w:rsidR="00363CD3" w:rsidRDefault="00363CD3" w:rsidP="002C1061"/>
    <w:p w:rsidR="00363CD3" w:rsidRDefault="00363CD3" w:rsidP="00363CD3">
      <w:r>
        <w:t>Discuss the extra volume that is connected, and the effect thereof on the maths</w:t>
      </w:r>
    </w:p>
    <w:p w:rsidR="00363CD3" w:rsidRDefault="00363CD3" w:rsidP="00363CD3">
      <w:r>
        <w:t>Discuss the heat transfer coefficients that were used. And how these actually work.</w:t>
      </w:r>
    </w:p>
    <w:p w:rsidR="00363CD3" w:rsidRDefault="00363CD3" w:rsidP="00363CD3">
      <w:r>
        <w:t xml:space="preserve">Discuss the pressure loss stuff? </w:t>
      </w:r>
    </w:p>
    <w:p w:rsidR="00363CD3" w:rsidRDefault="00363CD3" w:rsidP="00363CD3">
      <w:r>
        <w:t>The two separate parts of the experiment. 1. The actual modelling of the actual engine.</w:t>
      </w:r>
    </w:p>
    <w:p w:rsidR="00363CD3" w:rsidRDefault="00363CD3" w:rsidP="00363CD3">
      <w:r>
        <w:tab/>
      </w:r>
      <w:r>
        <w:tab/>
      </w:r>
      <w:r>
        <w:tab/>
      </w:r>
      <w:r>
        <w:tab/>
      </w:r>
      <w:r>
        <w:tab/>
        <w:t>2. looking at the effect that the higher temperature can have on the efficiency of the engine (this point would make for good discussion)</w:t>
      </w:r>
    </w:p>
    <w:p w:rsidR="00363CD3" w:rsidRDefault="00363CD3" w:rsidP="002C1061"/>
    <w:p w:rsidR="002C1061" w:rsidRDefault="002C1061" w:rsidP="002C1061">
      <w:pPr>
        <w:pStyle w:val="Heading1"/>
      </w:pPr>
      <w:r>
        <w:t>Conclusions and Recommendations</w:t>
      </w:r>
    </w:p>
    <w:p w:rsidR="00821AD1" w:rsidRDefault="00821AD1" w:rsidP="002C1061">
      <w:r>
        <w:t xml:space="preserve">The model needs to be extended to include the dead volume. Then a complete analysis of the system can be done. </w:t>
      </w:r>
    </w:p>
    <w:p w:rsidR="002C1061" w:rsidRDefault="002C1061" w:rsidP="002C1061">
      <w:pPr>
        <w:pStyle w:val="Heading1"/>
      </w:pPr>
      <w:r>
        <w:t>Acknowledgements</w:t>
      </w:r>
    </w:p>
    <w:p w:rsidR="002C1061" w:rsidRDefault="008E1323" w:rsidP="002C1061">
      <w:r>
        <w:t>The author would like to thank Dr James Carson for support, and Rodney Sharp for providing the engine concept and support in understanding it.</w:t>
      </w:r>
    </w:p>
    <w:p w:rsidR="002C1061" w:rsidRDefault="002C1061" w:rsidP="002C1061">
      <w:pPr>
        <w:pStyle w:val="Heading1"/>
      </w:pPr>
      <w:r>
        <w:t>References</w:t>
      </w:r>
    </w:p>
    <w:p w:rsidR="008839A0" w:rsidRPr="008839A0" w:rsidRDefault="008E1323">
      <w:pPr>
        <w:pStyle w:val="NormalWeb"/>
        <w:ind w:left="480" w:hanging="480"/>
        <w:divId w:val="1309673996"/>
        <w:rPr>
          <w:noProof/>
          <w:sz w:val="20"/>
        </w:rPr>
      </w:pPr>
      <w:r>
        <w:fldChar w:fldCharType="begin" w:fldLock="1"/>
      </w:r>
      <w:r w:rsidRPr="008839A0">
        <w:instrText xml:space="preserve">ADDIN Mendeley Bibliography CSL_BIBLIOGRAPHY </w:instrText>
      </w:r>
      <w:r>
        <w:fldChar w:fldCharType="separate"/>
      </w:r>
      <w:r w:rsidR="008839A0" w:rsidRPr="008839A0">
        <w:rPr>
          <w:noProof/>
          <w:sz w:val="20"/>
        </w:rPr>
        <w:t xml:space="preserve">Çengel, Y. A., &amp; Boles, M. A. (2007). </w:t>
      </w:r>
      <w:r w:rsidR="008839A0" w:rsidRPr="008839A0">
        <w:rPr>
          <w:i/>
          <w:iCs/>
          <w:noProof/>
          <w:sz w:val="20"/>
        </w:rPr>
        <w:t>Thermodynamics: An Engineering Approach, SI Version</w:t>
      </w:r>
      <w:r w:rsidR="008839A0" w:rsidRPr="008839A0">
        <w:rPr>
          <w:noProof/>
          <w:sz w:val="20"/>
        </w:rPr>
        <w:t>. New York: McGraw-Hill Higher Education.</w:t>
      </w:r>
    </w:p>
    <w:p w:rsidR="008839A0" w:rsidRPr="008839A0" w:rsidRDefault="008839A0">
      <w:pPr>
        <w:pStyle w:val="NormalWeb"/>
        <w:ind w:left="480" w:hanging="480"/>
        <w:divId w:val="1309673996"/>
        <w:rPr>
          <w:noProof/>
          <w:sz w:val="20"/>
        </w:rPr>
      </w:pPr>
      <w:r w:rsidRPr="008839A0">
        <w:rPr>
          <w:noProof/>
          <w:sz w:val="20"/>
        </w:rPr>
        <w:t xml:space="preserve">Kongtragool, B., &amp; Wongwises, S. (2003). A review of solar-powered Stirling engines and low temperature differential Stirling engines. </w:t>
      </w:r>
      <w:r w:rsidRPr="008839A0">
        <w:rPr>
          <w:i/>
          <w:iCs/>
          <w:noProof/>
          <w:sz w:val="20"/>
        </w:rPr>
        <w:t>Renewable and Sustainable Energy Reviews</w:t>
      </w:r>
      <w:r w:rsidRPr="008839A0">
        <w:rPr>
          <w:noProof/>
          <w:sz w:val="20"/>
        </w:rPr>
        <w:t xml:space="preserve">, </w:t>
      </w:r>
      <w:r w:rsidRPr="008839A0">
        <w:rPr>
          <w:i/>
          <w:iCs/>
          <w:noProof/>
          <w:sz w:val="20"/>
        </w:rPr>
        <w:t>7</w:t>
      </w:r>
      <w:r w:rsidRPr="008839A0">
        <w:rPr>
          <w:noProof/>
          <w:sz w:val="20"/>
        </w:rPr>
        <w:t>(2), 131–154. doi:10.1016/S1364-0321(02)00053-9</w:t>
      </w:r>
    </w:p>
    <w:p w:rsidR="008839A0" w:rsidRPr="008839A0" w:rsidRDefault="008839A0">
      <w:pPr>
        <w:pStyle w:val="NormalWeb"/>
        <w:ind w:left="480" w:hanging="480"/>
        <w:divId w:val="1309673996"/>
        <w:rPr>
          <w:noProof/>
          <w:sz w:val="20"/>
        </w:rPr>
      </w:pPr>
      <w:r w:rsidRPr="008839A0">
        <w:rPr>
          <w:noProof/>
          <w:sz w:val="20"/>
        </w:rPr>
        <w:t xml:space="preserve">Li, T., Tang, D., Li, Z., Du, J., Zhou, T., &amp; Jia, Y. (2012). Development and test of a Stirling engine driven by waste gases for the micro-CHP system. </w:t>
      </w:r>
      <w:r w:rsidRPr="008839A0">
        <w:rPr>
          <w:i/>
          <w:iCs/>
          <w:noProof/>
          <w:sz w:val="20"/>
        </w:rPr>
        <w:t>Applied Thermal Engineering</w:t>
      </w:r>
      <w:r w:rsidRPr="008839A0">
        <w:rPr>
          <w:noProof/>
          <w:sz w:val="20"/>
        </w:rPr>
        <w:t xml:space="preserve">, </w:t>
      </w:r>
      <w:r w:rsidRPr="008839A0">
        <w:rPr>
          <w:i/>
          <w:iCs/>
          <w:noProof/>
          <w:sz w:val="20"/>
        </w:rPr>
        <w:t>33-34</w:t>
      </w:r>
      <w:r w:rsidRPr="008839A0">
        <w:rPr>
          <w:noProof/>
          <w:sz w:val="20"/>
        </w:rPr>
        <w:t>, 119–123. doi:10.1016/j.applthermaleng.2011.09.020</w:t>
      </w:r>
    </w:p>
    <w:p w:rsidR="008839A0" w:rsidRPr="008839A0" w:rsidRDefault="008839A0">
      <w:pPr>
        <w:pStyle w:val="NormalWeb"/>
        <w:ind w:left="480" w:hanging="480"/>
        <w:divId w:val="1309673996"/>
        <w:rPr>
          <w:noProof/>
          <w:sz w:val="20"/>
        </w:rPr>
      </w:pPr>
      <w:r w:rsidRPr="008839A0">
        <w:rPr>
          <w:noProof/>
          <w:sz w:val="20"/>
        </w:rPr>
        <w:t xml:space="preserve">Mahkamov, K. (2006). Design Improvements to a Biomass Stirling Engine Using Mathematical Analysis and 3D CFD Modeling. </w:t>
      </w:r>
      <w:r w:rsidRPr="008839A0">
        <w:rPr>
          <w:i/>
          <w:iCs/>
          <w:noProof/>
          <w:sz w:val="20"/>
        </w:rPr>
        <w:t>Journal of Energy Resources Technology</w:t>
      </w:r>
      <w:r w:rsidRPr="008839A0">
        <w:rPr>
          <w:noProof/>
          <w:sz w:val="20"/>
        </w:rPr>
        <w:t xml:space="preserve">, </w:t>
      </w:r>
      <w:r w:rsidRPr="008839A0">
        <w:rPr>
          <w:i/>
          <w:iCs/>
          <w:noProof/>
          <w:sz w:val="20"/>
        </w:rPr>
        <w:t>128</w:t>
      </w:r>
      <w:r w:rsidRPr="008839A0">
        <w:rPr>
          <w:noProof/>
          <w:sz w:val="20"/>
        </w:rPr>
        <w:t>(3), 203. doi:10.1115/1.2213273</w:t>
      </w:r>
    </w:p>
    <w:p w:rsidR="008839A0" w:rsidRPr="008839A0" w:rsidRDefault="008839A0">
      <w:pPr>
        <w:pStyle w:val="NormalWeb"/>
        <w:ind w:left="480" w:hanging="480"/>
        <w:divId w:val="1309673996"/>
        <w:rPr>
          <w:noProof/>
          <w:sz w:val="20"/>
        </w:rPr>
      </w:pPr>
      <w:r w:rsidRPr="008839A0">
        <w:rPr>
          <w:noProof/>
          <w:sz w:val="20"/>
        </w:rPr>
        <w:t>Martaj, N., Rochelle, P., Grosu, L., Bennacer, R., &amp; Savarese, S. (2007). STIRLING ENGINE SIMULATION</w:t>
      </w:r>
      <w:r w:rsidRPr="008839A0">
        <w:rPr>
          <w:rFonts w:ascii="Cambria Math" w:hAnsi="Cambria Math" w:cs="Cambria Math"/>
          <w:noProof/>
          <w:sz w:val="20"/>
        </w:rPr>
        <w:t> </w:t>
      </w:r>
      <w:r w:rsidRPr="008839A0">
        <w:rPr>
          <w:noProof/>
          <w:sz w:val="20"/>
        </w:rPr>
        <w:t xml:space="preserve">: NON - ISOTHERMAL FLOW / STRUCTURE INTERACTION. In </w:t>
      </w:r>
      <w:r w:rsidRPr="008839A0">
        <w:rPr>
          <w:i/>
          <w:iCs/>
          <w:noProof/>
          <w:sz w:val="20"/>
        </w:rPr>
        <w:t>Comsol Conference 2007</w:t>
      </w:r>
      <w:r w:rsidRPr="008839A0">
        <w:rPr>
          <w:noProof/>
          <w:sz w:val="20"/>
        </w:rPr>
        <w:t xml:space="preserve"> (p. 2007). Grenoble, France.</w:t>
      </w:r>
    </w:p>
    <w:p w:rsidR="008839A0" w:rsidRPr="008839A0" w:rsidRDefault="008839A0">
      <w:pPr>
        <w:pStyle w:val="NormalWeb"/>
        <w:ind w:left="480" w:hanging="480"/>
        <w:divId w:val="1309673996"/>
        <w:rPr>
          <w:noProof/>
          <w:sz w:val="20"/>
        </w:rPr>
      </w:pPr>
      <w:r w:rsidRPr="008839A0">
        <w:rPr>
          <w:noProof/>
          <w:sz w:val="20"/>
        </w:rPr>
        <w:t xml:space="preserve">Martini, W. R. (1983). </w:t>
      </w:r>
      <w:r w:rsidRPr="008839A0">
        <w:rPr>
          <w:i/>
          <w:iCs/>
          <w:noProof/>
          <w:sz w:val="20"/>
        </w:rPr>
        <w:t>Stirling Engine Design Manual</w:t>
      </w:r>
      <w:r w:rsidRPr="008839A0">
        <w:rPr>
          <w:noProof/>
          <w:sz w:val="20"/>
        </w:rPr>
        <w:t xml:space="preserve"> (2nd ed.). National Aeronautics and Space Administration.</w:t>
      </w:r>
    </w:p>
    <w:p w:rsidR="008839A0" w:rsidRPr="008839A0" w:rsidRDefault="008839A0">
      <w:pPr>
        <w:pStyle w:val="NormalWeb"/>
        <w:ind w:left="480" w:hanging="480"/>
        <w:divId w:val="1309673996"/>
        <w:rPr>
          <w:noProof/>
          <w:sz w:val="20"/>
        </w:rPr>
      </w:pPr>
      <w:r w:rsidRPr="008839A0">
        <w:rPr>
          <w:noProof/>
          <w:sz w:val="20"/>
        </w:rPr>
        <w:t xml:space="preserve">Parlak, N., Wagner, A., Elsner, M., &amp; Soyhan, H. S. (2009). Thermodynamic analysis of a gamma type Stirling engine in non-ideal adiabatic conditions. </w:t>
      </w:r>
      <w:r w:rsidRPr="008839A0">
        <w:rPr>
          <w:i/>
          <w:iCs/>
          <w:noProof/>
          <w:sz w:val="20"/>
        </w:rPr>
        <w:t>Renewable Energy</w:t>
      </w:r>
      <w:r w:rsidRPr="008839A0">
        <w:rPr>
          <w:noProof/>
          <w:sz w:val="20"/>
        </w:rPr>
        <w:t xml:space="preserve">, </w:t>
      </w:r>
      <w:r w:rsidRPr="008839A0">
        <w:rPr>
          <w:i/>
          <w:iCs/>
          <w:noProof/>
          <w:sz w:val="20"/>
        </w:rPr>
        <w:t>34</w:t>
      </w:r>
      <w:r w:rsidRPr="008839A0">
        <w:rPr>
          <w:noProof/>
          <w:sz w:val="20"/>
        </w:rPr>
        <w:t>(1), 266–273. doi:10.1016/j.renene.2008.02.030</w:t>
      </w:r>
    </w:p>
    <w:p w:rsidR="008839A0" w:rsidRPr="008839A0" w:rsidRDefault="008839A0">
      <w:pPr>
        <w:pStyle w:val="NormalWeb"/>
        <w:ind w:left="480" w:hanging="480"/>
        <w:divId w:val="1309673996"/>
        <w:rPr>
          <w:noProof/>
          <w:sz w:val="20"/>
        </w:rPr>
      </w:pPr>
      <w:r w:rsidRPr="008839A0">
        <w:rPr>
          <w:noProof/>
          <w:sz w:val="20"/>
        </w:rPr>
        <w:t>Urieli, I. (2010). Stirling Cycle Machine Analysis. Retrieved September 05, 2013, from http://www.ohio.edu/mechanical/stirling/me422.html</w:t>
      </w:r>
    </w:p>
    <w:p w:rsidR="008839A0" w:rsidRPr="008839A0" w:rsidRDefault="008839A0">
      <w:pPr>
        <w:pStyle w:val="NormalWeb"/>
        <w:ind w:left="480" w:hanging="480"/>
        <w:divId w:val="1309673996"/>
        <w:rPr>
          <w:noProof/>
          <w:sz w:val="20"/>
        </w:rPr>
      </w:pPr>
      <w:r w:rsidRPr="008839A0">
        <w:rPr>
          <w:noProof/>
          <w:sz w:val="20"/>
        </w:rPr>
        <w:t xml:space="preserve">Urieli, I., &amp; Berchowitz, D. M. (1984). </w:t>
      </w:r>
      <w:r w:rsidRPr="008839A0">
        <w:rPr>
          <w:i/>
          <w:iCs/>
          <w:noProof/>
          <w:sz w:val="20"/>
        </w:rPr>
        <w:t>Stirling Cycle Engine Analysis</w:t>
      </w:r>
      <w:r w:rsidRPr="008839A0">
        <w:rPr>
          <w:noProof/>
          <w:sz w:val="20"/>
        </w:rPr>
        <w:t>. Ann Arbor: A. Hilger.</w:t>
      </w:r>
    </w:p>
    <w:p w:rsidR="008E1323" w:rsidRPr="008E1323" w:rsidRDefault="008E1323" w:rsidP="008839A0">
      <w:pPr>
        <w:pStyle w:val="NormalWeb"/>
        <w:ind w:left="480" w:hanging="480"/>
        <w:divId w:val="1023826016"/>
      </w:pPr>
      <w:r>
        <w:fldChar w:fldCharType="end"/>
      </w:r>
    </w:p>
    <w:sectPr w:rsidR="008E1323" w:rsidRPr="008E1323" w:rsidSect="005E6C37">
      <w:type w:val="continuous"/>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3D" w:rsidRDefault="0084513D" w:rsidP="00160B0E">
      <w:pPr>
        <w:spacing w:after="0"/>
      </w:pPr>
      <w:r>
        <w:separator/>
      </w:r>
    </w:p>
  </w:endnote>
  <w:endnote w:type="continuationSeparator" w:id="0">
    <w:p w:rsidR="0084513D" w:rsidRDefault="0084513D" w:rsidP="00160B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416677"/>
      <w:docPartObj>
        <w:docPartGallery w:val="Page Numbers (Bottom of Page)"/>
        <w:docPartUnique/>
      </w:docPartObj>
    </w:sdtPr>
    <w:sdtEndPr>
      <w:rPr>
        <w:noProof/>
        <w:sz w:val="18"/>
        <w:szCs w:val="18"/>
      </w:rPr>
    </w:sdtEndPr>
    <w:sdtContent>
      <w:p w:rsidR="0084513D" w:rsidRPr="002C1061" w:rsidRDefault="0084513D">
        <w:pPr>
          <w:pStyle w:val="Footer"/>
          <w:jc w:val="center"/>
          <w:rPr>
            <w:sz w:val="18"/>
            <w:szCs w:val="18"/>
          </w:rPr>
        </w:pPr>
        <w:r w:rsidRPr="002C1061">
          <w:rPr>
            <w:sz w:val="18"/>
            <w:szCs w:val="18"/>
          </w:rPr>
          <w:fldChar w:fldCharType="begin"/>
        </w:r>
        <w:r w:rsidRPr="002C1061">
          <w:rPr>
            <w:sz w:val="18"/>
            <w:szCs w:val="18"/>
          </w:rPr>
          <w:instrText xml:space="preserve"> PAGE   \* MERGEFORMAT </w:instrText>
        </w:r>
        <w:r w:rsidRPr="002C1061">
          <w:rPr>
            <w:sz w:val="18"/>
            <w:szCs w:val="18"/>
          </w:rPr>
          <w:fldChar w:fldCharType="separate"/>
        </w:r>
        <w:r w:rsidR="008839A0">
          <w:rPr>
            <w:noProof/>
            <w:sz w:val="18"/>
            <w:szCs w:val="18"/>
          </w:rPr>
          <w:t>2</w:t>
        </w:r>
        <w:r w:rsidRPr="002C1061">
          <w:rPr>
            <w:noProof/>
            <w:sz w:val="18"/>
            <w:szCs w:val="18"/>
          </w:rPr>
          <w:fldChar w:fldCharType="end"/>
        </w:r>
      </w:p>
    </w:sdtContent>
  </w:sdt>
  <w:p w:rsidR="0084513D" w:rsidRDefault="00845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3D" w:rsidRDefault="0084513D" w:rsidP="00160B0E">
      <w:pPr>
        <w:spacing w:after="0"/>
      </w:pPr>
      <w:r>
        <w:separator/>
      </w:r>
    </w:p>
  </w:footnote>
  <w:footnote w:type="continuationSeparator" w:id="0">
    <w:p w:rsidR="0084513D" w:rsidRDefault="0084513D" w:rsidP="00160B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3D" w:rsidRPr="002C1061" w:rsidRDefault="0084513D" w:rsidP="002C1061">
    <w:pPr>
      <w:pStyle w:val="Header"/>
      <w:jc w:val="center"/>
      <w:rPr>
        <w:sz w:val="18"/>
        <w:szCs w:val="18"/>
      </w:rPr>
    </w:pPr>
    <w:r w:rsidRPr="002C1061">
      <w:rPr>
        <w:sz w:val="18"/>
        <w:szCs w:val="18"/>
      </w:rPr>
      <w:t>de Meijer</w:t>
    </w:r>
    <w:r w:rsidRPr="002C1061">
      <w:rPr>
        <w:sz w:val="18"/>
        <w:szCs w:val="18"/>
      </w:rPr>
      <w:tab/>
    </w:r>
    <w:r w:rsidRPr="002C1061">
      <w:rPr>
        <w:sz w:val="18"/>
        <w:szCs w:val="18"/>
      </w:rPr>
      <w:tab/>
      <w:t>Novel Stirling Engine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1F6"/>
    <w:multiLevelType w:val="multilevel"/>
    <w:tmpl w:val="58B46F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4337A1"/>
    <w:multiLevelType w:val="hybridMultilevel"/>
    <w:tmpl w:val="C96EFA3E"/>
    <w:lvl w:ilvl="0" w:tplc="B50C27C6">
      <w:start w:val="1"/>
      <w:numFmt w:val="decimal"/>
      <w:pStyle w:val="Heading2"/>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1A7622E"/>
    <w:multiLevelType w:val="hybridMultilevel"/>
    <w:tmpl w:val="B896F8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DD6554B"/>
    <w:multiLevelType w:val="hybridMultilevel"/>
    <w:tmpl w:val="C570F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3767BF1"/>
    <w:multiLevelType w:val="multilevel"/>
    <w:tmpl w:val="5B74CB5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DE00023"/>
    <w:multiLevelType w:val="hybridMultilevel"/>
    <w:tmpl w:val="B5B0B958"/>
    <w:lvl w:ilvl="0" w:tplc="1F0C76EA">
      <w:start w:val="1"/>
      <w:numFmt w:val="decimal"/>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7DB5775"/>
    <w:multiLevelType w:val="multilevel"/>
    <w:tmpl w:val="E0743B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44D2ADE"/>
    <w:multiLevelType w:val="hybridMultilevel"/>
    <w:tmpl w:val="8A28B2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48A114D"/>
    <w:multiLevelType w:val="multilevel"/>
    <w:tmpl w:val="B9FA2A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3"/>
  </w:num>
  <w:num w:numId="3">
    <w:abstractNumId w:val="7"/>
  </w:num>
  <w:num w:numId="4">
    <w:abstractNumId w:val="1"/>
  </w:num>
  <w:num w:numId="5">
    <w:abstractNumId w:val="2"/>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7C"/>
    <w:rsid w:val="000311FC"/>
    <w:rsid w:val="00047556"/>
    <w:rsid w:val="00050C71"/>
    <w:rsid w:val="00056704"/>
    <w:rsid w:val="00067ACB"/>
    <w:rsid w:val="00160B0E"/>
    <w:rsid w:val="001F7C05"/>
    <w:rsid w:val="00201B72"/>
    <w:rsid w:val="0024379D"/>
    <w:rsid w:val="002819F5"/>
    <w:rsid w:val="002C1061"/>
    <w:rsid w:val="00363CD3"/>
    <w:rsid w:val="003D45EA"/>
    <w:rsid w:val="003E106F"/>
    <w:rsid w:val="004203EC"/>
    <w:rsid w:val="00430198"/>
    <w:rsid w:val="00437296"/>
    <w:rsid w:val="00440C20"/>
    <w:rsid w:val="004432C5"/>
    <w:rsid w:val="004504A9"/>
    <w:rsid w:val="00460924"/>
    <w:rsid w:val="004A35D1"/>
    <w:rsid w:val="004E3AAA"/>
    <w:rsid w:val="005155C7"/>
    <w:rsid w:val="005E2BB6"/>
    <w:rsid w:val="005E6C37"/>
    <w:rsid w:val="005F79F5"/>
    <w:rsid w:val="00600059"/>
    <w:rsid w:val="00632DA8"/>
    <w:rsid w:val="00636ACA"/>
    <w:rsid w:val="00641456"/>
    <w:rsid w:val="00653F65"/>
    <w:rsid w:val="006B3A3D"/>
    <w:rsid w:val="006C6974"/>
    <w:rsid w:val="007D5F09"/>
    <w:rsid w:val="00821AD1"/>
    <w:rsid w:val="0084513D"/>
    <w:rsid w:val="008709BF"/>
    <w:rsid w:val="008839A0"/>
    <w:rsid w:val="0088691A"/>
    <w:rsid w:val="008A107C"/>
    <w:rsid w:val="008D76E6"/>
    <w:rsid w:val="008E1323"/>
    <w:rsid w:val="008E5B0C"/>
    <w:rsid w:val="009B200C"/>
    <w:rsid w:val="009F45A3"/>
    <w:rsid w:val="009F7785"/>
    <w:rsid w:val="00A029FA"/>
    <w:rsid w:val="00A67F17"/>
    <w:rsid w:val="00B0107D"/>
    <w:rsid w:val="00B7484C"/>
    <w:rsid w:val="00BA6484"/>
    <w:rsid w:val="00BE07E3"/>
    <w:rsid w:val="00C658FA"/>
    <w:rsid w:val="00C83449"/>
    <w:rsid w:val="00C90823"/>
    <w:rsid w:val="00CC0956"/>
    <w:rsid w:val="00D03A51"/>
    <w:rsid w:val="00D11575"/>
    <w:rsid w:val="00DC2B3A"/>
    <w:rsid w:val="00EA27C9"/>
    <w:rsid w:val="00EC7BEC"/>
    <w:rsid w:val="00EE0BEB"/>
    <w:rsid w:val="00F2517C"/>
    <w:rsid w:val="00F40A8A"/>
    <w:rsid w:val="00F50AF4"/>
    <w:rsid w:val="00F64641"/>
    <w:rsid w:val="00F924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E6"/>
    <w:pPr>
      <w:spacing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8A107C"/>
    <w:pPr>
      <w:numPr>
        <w:numId w:val="1"/>
      </w:numPr>
      <w:spacing w:before="480" w:after="0"/>
      <w:ind w:left="357" w:hanging="357"/>
      <w:contextualSpacing/>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067ACB"/>
    <w:pPr>
      <w:numPr>
        <w:numId w:val="4"/>
      </w:numPr>
      <w:spacing w:before="200" w:after="0" w:line="360" w:lineRule="auto"/>
      <w:ind w:left="714" w:hanging="357"/>
      <w:outlineLvl w:val="1"/>
    </w:pPr>
    <w:rPr>
      <w:rFonts w:ascii="Arial" w:eastAsiaTheme="majorEastAsia" w:hAnsi="Arial" w:cstheme="majorBidi"/>
      <w:bCs/>
      <w:i/>
      <w:szCs w:val="26"/>
    </w:rPr>
  </w:style>
  <w:style w:type="paragraph" w:styleId="Heading3">
    <w:name w:val="heading 3"/>
    <w:basedOn w:val="Normal"/>
    <w:next w:val="Normal"/>
    <w:link w:val="Heading3Char"/>
    <w:uiPriority w:val="9"/>
    <w:semiHidden/>
    <w:unhideWhenUsed/>
    <w:qFormat/>
    <w:rsid w:val="00160B0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60B0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60B0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60B0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60B0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60B0E"/>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160B0E"/>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B0E"/>
    <w:pPr>
      <w:tabs>
        <w:tab w:val="center" w:pos="4513"/>
        <w:tab w:val="right" w:pos="9026"/>
      </w:tabs>
      <w:spacing w:after="0"/>
    </w:pPr>
  </w:style>
  <w:style w:type="character" w:customStyle="1" w:styleId="HeaderChar">
    <w:name w:val="Header Char"/>
    <w:basedOn w:val="DefaultParagraphFont"/>
    <w:link w:val="Header"/>
    <w:uiPriority w:val="99"/>
    <w:rsid w:val="00160B0E"/>
  </w:style>
  <w:style w:type="paragraph" w:styleId="Footer">
    <w:name w:val="footer"/>
    <w:basedOn w:val="Normal"/>
    <w:link w:val="FooterChar"/>
    <w:uiPriority w:val="99"/>
    <w:unhideWhenUsed/>
    <w:rsid w:val="00160B0E"/>
    <w:pPr>
      <w:tabs>
        <w:tab w:val="center" w:pos="4513"/>
        <w:tab w:val="right" w:pos="9026"/>
      </w:tabs>
      <w:spacing w:after="0"/>
    </w:pPr>
  </w:style>
  <w:style w:type="character" w:customStyle="1" w:styleId="FooterChar">
    <w:name w:val="Footer Char"/>
    <w:basedOn w:val="DefaultParagraphFont"/>
    <w:link w:val="Footer"/>
    <w:uiPriority w:val="99"/>
    <w:rsid w:val="00160B0E"/>
  </w:style>
  <w:style w:type="character" w:customStyle="1" w:styleId="Heading1Char">
    <w:name w:val="Heading 1 Char"/>
    <w:basedOn w:val="DefaultParagraphFont"/>
    <w:link w:val="Heading1"/>
    <w:uiPriority w:val="9"/>
    <w:rsid w:val="008A107C"/>
    <w:rPr>
      <w:rFonts w:ascii="Arial" w:eastAsiaTheme="majorEastAsia" w:hAnsi="Arial" w:cstheme="majorBidi"/>
      <w:b/>
      <w:bCs/>
      <w:sz w:val="20"/>
      <w:szCs w:val="28"/>
    </w:rPr>
  </w:style>
  <w:style w:type="paragraph" w:styleId="Title">
    <w:name w:val="Title"/>
    <w:basedOn w:val="Normal"/>
    <w:next w:val="Normal"/>
    <w:link w:val="TitleChar"/>
    <w:uiPriority w:val="10"/>
    <w:qFormat/>
    <w:rsid w:val="00D11575"/>
    <w:pPr>
      <w:spacing w:after="0" w:line="360" w:lineRule="auto"/>
      <w:contextualSpacing/>
    </w:pPr>
    <w:rPr>
      <w:rFonts w:ascii="Arial" w:eastAsiaTheme="majorEastAsia" w:hAnsi="Arial" w:cstheme="majorBidi"/>
      <w:b/>
      <w:spacing w:val="5"/>
      <w:sz w:val="24"/>
      <w:szCs w:val="52"/>
    </w:rPr>
  </w:style>
  <w:style w:type="character" w:customStyle="1" w:styleId="TitleChar">
    <w:name w:val="Title Char"/>
    <w:basedOn w:val="DefaultParagraphFont"/>
    <w:link w:val="Title"/>
    <w:uiPriority w:val="10"/>
    <w:rsid w:val="00D11575"/>
    <w:rPr>
      <w:rFonts w:ascii="Arial" w:eastAsiaTheme="majorEastAsia" w:hAnsi="Arial" w:cstheme="majorBidi"/>
      <w:b/>
      <w:spacing w:val="5"/>
      <w:sz w:val="24"/>
      <w:szCs w:val="52"/>
    </w:rPr>
  </w:style>
  <w:style w:type="character" w:styleId="Hyperlink">
    <w:name w:val="Hyperlink"/>
    <w:basedOn w:val="DefaultParagraphFont"/>
    <w:uiPriority w:val="99"/>
    <w:unhideWhenUsed/>
    <w:rsid w:val="00160B0E"/>
    <w:rPr>
      <w:color w:val="0000FF" w:themeColor="hyperlink"/>
      <w:u w:val="single"/>
    </w:rPr>
  </w:style>
  <w:style w:type="character" w:customStyle="1" w:styleId="Heading2Char">
    <w:name w:val="Heading 2 Char"/>
    <w:basedOn w:val="DefaultParagraphFont"/>
    <w:link w:val="Heading2"/>
    <w:uiPriority w:val="9"/>
    <w:rsid w:val="00067ACB"/>
    <w:rPr>
      <w:rFonts w:ascii="Arial" w:eastAsiaTheme="majorEastAsia" w:hAnsi="Arial" w:cstheme="majorBidi"/>
      <w:bCs/>
      <w:i/>
      <w:sz w:val="20"/>
      <w:szCs w:val="26"/>
    </w:rPr>
  </w:style>
  <w:style w:type="character" w:customStyle="1" w:styleId="Heading3Char">
    <w:name w:val="Heading 3 Char"/>
    <w:basedOn w:val="DefaultParagraphFont"/>
    <w:link w:val="Heading3"/>
    <w:uiPriority w:val="9"/>
    <w:semiHidden/>
    <w:rsid w:val="00160B0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60B0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60B0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60B0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60B0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60B0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60B0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60B0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60B0E"/>
    <w:rPr>
      <w:rFonts w:asciiTheme="majorHAnsi" w:eastAsiaTheme="majorEastAsia" w:hAnsiTheme="majorHAnsi" w:cstheme="majorBidi"/>
      <w:i/>
      <w:iCs/>
      <w:spacing w:val="13"/>
      <w:sz w:val="24"/>
      <w:szCs w:val="24"/>
    </w:rPr>
  </w:style>
  <w:style w:type="character" w:styleId="Strong">
    <w:name w:val="Strong"/>
    <w:uiPriority w:val="22"/>
    <w:qFormat/>
    <w:rsid w:val="00160B0E"/>
    <w:rPr>
      <w:b/>
      <w:bCs/>
    </w:rPr>
  </w:style>
  <w:style w:type="character" w:styleId="Emphasis">
    <w:name w:val="Emphasis"/>
    <w:uiPriority w:val="20"/>
    <w:qFormat/>
    <w:rsid w:val="00160B0E"/>
    <w:rPr>
      <w:b/>
      <w:bCs/>
      <w:i/>
      <w:iCs/>
      <w:spacing w:val="10"/>
      <w:bdr w:val="none" w:sz="0" w:space="0" w:color="auto"/>
      <w:shd w:val="clear" w:color="auto" w:fill="auto"/>
    </w:rPr>
  </w:style>
  <w:style w:type="paragraph" w:styleId="NoSpacing">
    <w:name w:val="No Spacing"/>
    <w:basedOn w:val="Normal"/>
    <w:uiPriority w:val="1"/>
    <w:qFormat/>
    <w:rsid w:val="00160B0E"/>
    <w:pPr>
      <w:spacing w:after="0"/>
    </w:pPr>
  </w:style>
  <w:style w:type="paragraph" w:styleId="ListParagraph">
    <w:name w:val="List Paragraph"/>
    <w:basedOn w:val="Normal"/>
    <w:uiPriority w:val="34"/>
    <w:qFormat/>
    <w:rsid w:val="00160B0E"/>
    <w:pPr>
      <w:ind w:left="720"/>
      <w:contextualSpacing/>
    </w:pPr>
  </w:style>
  <w:style w:type="paragraph" w:styleId="Quote">
    <w:name w:val="Quote"/>
    <w:basedOn w:val="Normal"/>
    <w:next w:val="Normal"/>
    <w:link w:val="QuoteChar"/>
    <w:uiPriority w:val="29"/>
    <w:qFormat/>
    <w:rsid w:val="00160B0E"/>
    <w:pPr>
      <w:spacing w:before="200" w:after="0"/>
      <w:ind w:left="360" w:right="360"/>
    </w:pPr>
    <w:rPr>
      <w:i/>
      <w:iCs/>
    </w:rPr>
  </w:style>
  <w:style w:type="character" w:customStyle="1" w:styleId="QuoteChar">
    <w:name w:val="Quote Char"/>
    <w:basedOn w:val="DefaultParagraphFont"/>
    <w:link w:val="Quote"/>
    <w:uiPriority w:val="29"/>
    <w:rsid w:val="00160B0E"/>
    <w:rPr>
      <w:i/>
      <w:iCs/>
    </w:rPr>
  </w:style>
  <w:style w:type="paragraph" w:styleId="IntenseQuote">
    <w:name w:val="Intense Quote"/>
    <w:basedOn w:val="Normal"/>
    <w:next w:val="Normal"/>
    <w:link w:val="IntenseQuoteChar"/>
    <w:uiPriority w:val="30"/>
    <w:qFormat/>
    <w:rsid w:val="00160B0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60B0E"/>
    <w:rPr>
      <w:b/>
      <w:bCs/>
      <w:i/>
      <w:iCs/>
    </w:rPr>
  </w:style>
  <w:style w:type="character" w:styleId="SubtleEmphasis">
    <w:name w:val="Subtle Emphasis"/>
    <w:uiPriority w:val="19"/>
    <w:qFormat/>
    <w:rsid w:val="00160B0E"/>
    <w:rPr>
      <w:i/>
      <w:iCs/>
    </w:rPr>
  </w:style>
  <w:style w:type="character" w:styleId="IntenseEmphasis">
    <w:name w:val="Intense Emphasis"/>
    <w:uiPriority w:val="21"/>
    <w:qFormat/>
    <w:rsid w:val="00160B0E"/>
    <w:rPr>
      <w:b/>
      <w:bCs/>
    </w:rPr>
  </w:style>
  <w:style w:type="character" w:styleId="SubtleReference">
    <w:name w:val="Subtle Reference"/>
    <w:uiPriority w:val="31"/>
    <w:qFormat/>
    <w:rsid w:val="00160B0E"/>
    <w:rPr>
      <w:smallCaps/>
    </w:rPr>
  </w:style>
  <w:style w:type="character" w:styleId="IntenseReference">
    <w:name w:val="Intense Reference"/>
    <w:uiPriority w:val="32"/>
    <w:qFormat/>
    <w:rsid w:val="00160B0E"/>
    <w:rPr>
      <w:smallCaps/>
      <w:spacing w:val="5"/>
      <w:u w:val="single"/>
    </w:rPr>
  </w:style>
  <w:style w:type="character" w:styleId="BookTitle">
    <w:name w:val="Book Title"/>
    <w:uiPriority w:val="33"/>
    <w:qFormat/>
    <w:rsid w:val="00160B0E"/>
    <w:rPr>
      <w:i/>
      <w:iCs/>
      <w:smallCaps/>
      <w:spacing w:val="5"/>
    </w:rPr>
  </w:style>
  <w:style w:type="paragraph" w:styleId="TOCHeading">
    <w:name w:val="TOC Heading"/>
    <w:basedOn w:val="Heading1"/>
    <w:next w:val="Normal"/>
    <w:uiPriority w:val="39"/>
    <w:semiHidden/>
    <w:unhideWhenUsed/>
    <w:qFormat/>
    <w:rsid w:val="00160B0E"/>
    <w:pPr>
      <w:outlineLvl w:val="9"/>
    </w:pPr>
    <w:rPr>
      <w:lang w:bidi="en-US"/>
    </w:rPr>
  </w:style>
  <w:style w:type="paragraph" w:styleId="Caption">
    <w:name w:val="caption"/>
    <w:basedOn w:val="Normal"/>
    <w:next w:val="Normal"/>
    <w:uiPriority w:val="35"/>
    <w:unhideWhenUsed/>
    <w:rsid w:val="00BA6484"/>
    <w:rPr>
      <w:b/>
      <w:bCs/>
      <w:color w:val="4F81BD" w:themeColor="accent1"/>
      <w:sz w:val="18"/>
      <w:szCs w:val="18"/>
    </w:rPr>
  </w:style>
  <w:style w:type="paragraph" w:styleId="BalloonText">
    <w:name w:val="Balloon Text"/>
    <w:basedOn w:val="Normal"/>
    <w:link w:val="BalloonTextChar"/>
    <w:uiPriority w:val="99"/>
    <w:semiHidden/>
    <w:unhideWhenUsed/>
    <w:rsid w:val="00BA64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484"/>
    <w:rPr>
      <w:rFonts w:ascii="Tahoma" w:hAnsi="Tahoma" w:cs="Tahoma"/>
      <w:sz w:val="16"/>
      <w:szCs w:val="16"/>
    </w:rPr>
  </w:style>
  <w:style w:type="paragraph" w:styleId="NormalWeb">
    <w:name w:val="Normal (Web)"/>
    <w:basedOn w:val="Normal"/>
    <w:uiPriority w:val="99"/>
    <w:unhideWhenUsed/>
    <w:rsid w:val="008E1323"/>
    <w:pPr>
      <w:spacing w:before="100" w:beforeAutospacing="1" w:after="100" w:afterAutospacing="1"/>
    </w:pPr>
    <w:rPr>
      <w:rFonts w:cs="Times New Roman"/>
      <w:sz w:val="24"/>
      <w:szCs w:val="24"/>
      <w:lang w:eastAsia="en-NZ"/>
    </w:rPr>
  </w:style>
  <w:style w:type="table" w:styleId="TableGrid">
    <w:name w:val="Table Grid"/>
    <w:basedOn w:val="TableNormal"/>
    <w:uiPriority w:val="59"/>
    <w:rsid w:val="00A67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7ACB"/>
    <w:rPr>
      <w:color w:val="808080"/>
    </w:rPr>
  </w:style>
  <w:style w:type="paragraph" w:styleId="FootnoteText">
    <w:name w:val="footnote text"/>
    <w:basedOn w:val="Normal"/>
    <w:link w:val="FootnoteTextChar"/>
    <w:uiPriority w:val="99"/>
    <w:semiHidden/>
    <w:unhideWhenUsed/>
    <w:rsid w:val="00047556"/>
    <w:pPr>
      <w:spacing w:after="0"/>
    </w:pPr>
    <w:rPr>
      <w:szCs w:val="20"/>
    </w:rPr>
  </w:style>
  <w:style w:type="character" w:customStyle="1" w:styleId="FootnoteTextChar">
    <w:name w:val="Footnote Text Char"/>
    <w:basedOn w:val="DefaultParagraphFont"/>
    <w:link w:val="FootnoteText"/>
    <w:uiPriority w:val="99"/>
    <w:semiHidden/>
    <w:rsid w:val="00047556"/>
    <w:rPr>
      <w:rFonts w:ascii="Times New Roman" w:hAnsi="Times New Roman"/>
      <w:sz w:val="20"/>
      <w:szCs w:val="20"/>
    </w:rPr>
  </w:style>
  <w:style w:type="character" w:styleId="FootnoteReference">
    <w:name w:val="footnote reference"/>
    <w:basedOn w:val="DefaultParagraphFont"/>
    <w:uiPriority w:val="99"/>
    <w:semiHidden/>
    <w:unhideWhenUsed/>
    <w:rsid w:val="00047556"/>
    <w:rPr>
      <w:vertAlign w:val="superscript"/>
    </w:rPr>
  </w:style>
  <w:style w:type="table" w:styleId="MediumList1-Accent1">
    <w:name w:val="Medium List 1 Accent 1"/>
    <w:basedOn w:val="TableNormal"/>
    <w:uiPriority w:val="65"/>
    <w:rsid w:val="0084513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
    <w:name w:val="Light Shading"/>
    <w:basedOn w:val="TableNormal"/>
    <w:uiPriority w:val="60"/>
    <w:rsid w:val="008451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E6"/>
    <w:pPr>
      <w:spacing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8A107C"/>
    <w:pPr>
      <w:numPr>
        <w:numId w:val="1"/>
      </w:numPr>
      <w:spacing w:before="480" w:after="0"/>
      <w:ind w:left="357" w:hanging="357"/>
      <w:contextualSpacing/>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067ACB"/>
    <w:pPr>
      <w:numPr>
        <w:numId w:val="4"/>
      </w:numPr>
      <w:spacing w:before="200" w:after="0" w:line="360" w:lineRule="auto"/>
      <w:ind w:left="714" w:hanging="357"/>
      <w:outlineLvl w:val="1"/>
    </w:pPr>
    <w:rPr>
      <w:rFonts w:ascii="Arial" w:eastAsiaTheme="majorEastAsia" w:hAnsi="Arial" w:cstheme="majorBidi"/>
      <w:bCs/>
      <w:i/>
      <w:szCs w:val="26"/>
    </w:rPr>
  </w:style>
  <w:style w:type="paragraph" w:styleId="Heading3">
    <w:name w:val="heading 3"/>
    <w:basedOn w:val="Normal"/>
    <w:next w:val="Normal"/>
    <w:link w:val="Heading3Char"/>
    <w:uiPriority w:val="9"/>
    <w:semiHidden/>
    <w:unhideWhenUsed/>
    <w:qFormat/>
    <w:rsid w:val="00160B0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60B0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60B0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60B0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60B0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60B0E"/>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160B0E"/>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B0E"/>
    <w:pPr>
      <w:tabs>
        <w:tab w:val="center" w:pos="4513"/>
        <w:tab w:val="right" w:pos="9026"/>
      </w:tabs>
      <w:spacing w:after="0"/>
    </w:pPr>
  </w:style>
  <w:style w:type="character" w:customStyle="1" w:styleId="HeaderChar">
    <w:name w:val="Header Char"/>
    <w:basedOn w:val="DefaultParagraphFont"/>
    <w:link w:val="Header"/>
    <w:uiPriority w:val="99"/>
    <w:rsid w:val="00160B0E"/>
  </w:style>
  <w:style w:type="paragraph" w:styleId="Footer">
    <w:name w:val="footer"/>
    <w:basedOn w:val="Normal"/>
    <w:link w:val="FooterChar"/>
    <w:uiPriority w:val="99"/>
    <w:unhideWhenUsed/>
    <w:rsid w:val="00160B0E"/>
    <w:pPr>
      <w:tabs>
        <w:tab w:val="center" w:pos="4513"/>
        <w:tab w:val="right" w:pos="9026"/>
      </w:tabs>
      <w:spacing w:after="0"/>
    </w:pPr>
  </w:style>
  <w:style w:type="character" w:customStyle="1" w:styleId="FooterChar">
    <w:name w:val="Footer Char"/>
    <w:basedOn w:val="DefaultParagraphFont"/>
    <w:link w:val="Footer"/>
    <w:uiPriority w:val="99"/>
    <w:rsid w:val="00160B0E"/>
  </w:style>
  <w:style w:type="character" w:customStyle="1" w:styleId="Heading1Char">
    <w:name w:val="Heading 1 Char"/>
    <w:basedOn w:val="DefaultParagraphFont"/>
    <w:link w:val="Heading1"/>
    <w:uiPriority w:val="9"/>
    <w:rsid w:val="008A107C"/>
    <w:rPr>
      <w:rFonts w:ascii="Arial" w:eastAsiaTheme="majorEastAsia" w:hAnsi="Arial" w:cstheme="majorBidi"/>
      <w:b/>
      <w:bCs/>
      <w:sz w:val="20"/>
      <w:szCs w:val="28"/>
    </w:rPr>
  </w:style>
  <w:style w:type="paragraph" w:styleId="Title">
    <w:name w:val="Title"/>
    <w:basedOn w:val="Normal"/>
    <w:next w:val="Normal"/>
    <w:link w:val="TitleChar"/>
    <w:uiPriority w:val="10"/>
    <w:qFormat/>
    <w:rsid w:val="00D11575"/>
    <w:pPr>
      <w:spacing w:after="0" w:line="360" w:lineRule="auto"/>
      <w:contextualSpacing/>
    </w:pPr>
    <w:rPr>
      <w:rFonts w:ascii="Arial" w:eastAsiaTheme="majorEastAsia" w:hAnsi="Arial" w:cstheme="majorBidi"/>
      <w:b/>
      <w:spacing w:val="5"/>
      <w:sz w:val="24"/>
      <w:szCs w:val="52"/>
    </w:rPr>
  </w:style>
  <w:style w:type="character" w:customStyle="1" w:styleId="TitleChar">
    <w:name w:val="Title Char"/>
    <w:basedOn w:val="DefaultParagraphFont"/>
    <w:link w:val="Title"/>
    <w:uiPriority w:val="10"/>
    <w:rsid w:val="00D11575"/>
    <w:rPr>
      <w:rFonts w:ascii="Arial" w:eastAsiaTheme="majorEastAsia" w:hAnsi="Arial" w:cstheme="majorBidi"/>
      <w:b/>
      <w:spacing w:val="5"/>
      <w:sz w:val="24"/>
      <w:szCs w:val="52"/>
    </w:rPr>
  </w:style>
  <w:style w:type="character" w:styleId="Hyperlink">
    <w:name w:val="Hyperlink"/>
    <w:basedOn w:val="DefaultParagraphFont"/>
    <w:uiPriority w:val="99"/>
    <w:unhideWhenUsed/>
    <w:rsid w:val="00160B0E"/>
    <w:rPr>
      <w:color w:val="0000FF" w:themeColor="hyperlink"/>
      <w:u w:val="single"/>
    </w:rPr>
  </w:style>
  <w:style w:type="character" w:customStyle="1" w:styleId="Heading2Char">
    <w:name w:val="Heading 2 Char"/>
    <w:basedOn w:val="DefaultParagraphFont"/>
    <w:link w:val="Heading2"/>
    <w:uiPriority w:val="9"/>
    <w:rsid w:val="00067ACB"/>
    <w:rPr>
      <w:rFonts w:ascii="Arial" w:eastAsiaTheme="majorEastAsia" w:hAnsi="Arial" w:cstheme="majorBidi"/>
      <w:bCs/>
      <w:i/>
      <w:sz w:val="20"/>
      <w:szCs w:val="26"/>
    </w:rPr>
  </w:style>
  <w:style w:type="character" w:customStyle="1" w:styleId="Heading3Char">
    <w:name w:val="Heading 3 Char"/>
    <w:basedOn w:val="DefaultParagraphFont"/>
    <w:link w:val="Heading3"/>
    <w:uiPriority w:val="9"/>
    <w:semiHidden/>
    <w:rsid w:val="00160B0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60B0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60B0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60B0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60B0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60B0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60B0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60B0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60B0E"/>
    <w:rPr>
      <w:rFonts w:asciiTheme="majorHAnsi" w:eastAsiaTheme="majorEastAsia" w:hAnsiTheme="majorHAnsi" w:cstheme="majorBidi"/>
      <w:i/>
      <w:iCs/>
      <w:spacing w:val="13"/>
      <w:sz w:val="24"/>
      <w:szCs w:val="24"/>
    </w:rPr>
  </w:style>
  <w:style w:type="character" w:styleId="Strong">
    <w:name w:val="Strong"/>
    <w:uiPriority w:val="22"/>
    <w:qFormat/>
    <w:rsid w:val="00160B0E"/>
    <w:rPr>
      <w:b/>
      <w:bCs/>
    </w:rPr>
  </w:style>
  <w:style w:type="character" w:styleId="Emphasis">
    <w:name w:val="Emphasis"/>
    <w:uiPriority w:val="20"/>
    <w:qFormat/>
    <w:rsid w:val="00160B0E"/>
    <w:rPr>
      <w:b/>
      <w:bCs/>
      <w:i/>
      <w:iCs/>
      <w:spacing w:val="10"/>
      <w:bdr w:val="none" w:sz="0" w:space="0" w:color="auto"/>
      <w:shd w:val="clear" w:color="auto" w:fill="auto"/>
    </w:rPr>
  </w:style>
  <w:style w:type="paragraph" w:styleId="NoSpacing">
    <w:name w:val="No Spacing"/>
    <w:basedOn w:val="Normal"/>
    <w:uiPriority w:val="1"/>
    <w:qFormat/>
    <w:rsid w:val="00160B0E"/>
    <w:pPr>
      <w:spacing w:after="0"/>
    </w:pPr>
  </w:style>
  <w:style w:type="paragraph" w:styleId="ListParagraph">
    <w:name w:val="List Paragraph"/>
    <w:basedOn w:val="Normal"/>
    <w:uiPriority w:val="34"/>
    <w:qFormat/>
    <w:rsid w:val="00160B0E"/>
    <w:pPr>
      <w:ind w:left="720"/>
      <w:contextualSpacing/>
    </w:pPr>
  </w:style>
  <w:style w:type="paragraph" w:styleId="Quote">
    <w:name w:val="Quote"/>
    <w:basedOn w:val="Normal"/>
    <w:next w:val="Normal"/>
    <w:link w:val="QuoteChar"/>
    <w:uiPriority w:val="29"/>
    <w:qFormat/>
    <w:rsid w:val="00160B0E"/>
    <w:pPr>
      <w:spacing w:before="200" w:after="0"/>
      <w:ind w:left="360" w:right="360"/>
    </w:pPr>
    <w:rPr>
      <w:i/>
      <w:iCs/>
    </w:rPr>
  </w:style>
  <w:style w:type="character" w:customStyle="1" w:styleId="QuoteChar">
    <w:name w:val="Quote Char"/>
    <w:basedOn w:val="DefaultParagraphFont"/>
    <w:link w:val="Quote"/>
    <w:uiPriority w:val="29"/>
    <w:rsid w:val="00160B0E"/>
    <w:rPr>
      <w:i/>
      <w:iCs/>
    </w:rPr>
  </w:style>
  <w:style w:type="paragraph" w:styleId="IntenseQuote">
    <w:name w:val="Intense Quote"/>
    <w:basedOn w:val="Normal"/>
    <w:next w:val="Normal"/>
    <w:link w:val="IntenseQuoteChar"/>
    <w:uiPriority w:val="30"/>
    <w:qFormat/>
    <w:rsid w:val="00160B0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60B0E"/>
    <w:rPr>
      <w:b/>
      <w:bCs/>
      <w:i/>
      <w:iCs/>
    </w:rPr>
  </w:style>
  <w:style w:type="character" w:styleId="SubtleEmphasis">
    <w:name w:val="Subtle Emphasis"/>
    <w:uiPriority w:val="19"/>
    <w:qFormat/>
    <w:rsid w:val="00160B0E"/>
    <w:rPr>
      <w:i/>
      <w:iCs/>
    </w:rPr>
  </w:style>
  <w:style w:type="character" w:styleId="IntenseEmphasis">
    <w:name w:val="Intense Emphasis"/>
    <w:uiPriority w:val="21"/>
    <w:qFormat/>
    <w:rsid w:val="00160B0E"/>
    <w:rPr>
      <w:b/>
      <w:bCs/>
    </w:rPr>
  </w:style>
  <w:style w:type="character" w:styleId="SubtleReference">
    <w:name w:val="Subtle Reference"/>
    <w:uiPriority w:val="31"/>
    <w:qFormat/>
    <w:rsid w:val="00160B0E"/>
    <w:rPr>
      <w:smallCaps/>
    </w:rPr>
  </w:style>
  <w:style w:type="character" w:styleId="IntenseReference">
    <w:name w:val="Intense Reference"/>
    <w:uiPriority w:val="32"/>
    <w:qFormat/>
    <w:rsid w:val="00160B0E"/>
    <w:rPr>
      <w:smallCaps/>
      <w:spacing w:val="5"/>
      <w:u w:val="single"/>
    </w:rPr>
  </w:style>
  <w:style w:type="character" w:styleId="BookTitle">
    <w:name w:val="Book Title"/>
    <w:uiPriority w:val="33"/>
    <w:qFormat/>
    <w:rsid w:val="00160B0E"/>
    <w:rPr>
      <w:i/>
      <w:iCs/>
      <w:smallCaps/>
      <w:spacing w:val="5"/>
    </w:rPr>
  </w:style>
  <w:style w:type="paragraph" w:styleId="TOCHeading">
    <w:name w:val="TOC Heading"/>
    <w:basedOn w:val="Heading1"/>
    <w:next w:val="Normal"/>
    <w:uiPriority w:val="39"/>
    <w:semiHidden/>
    <w:unhideWhenUsed/>
    <w:qFormat/>
    <w:rsid w:val="00160B0E"/>
    <w:pPr>
      <w:outlineLvl w:val="9"/>
    </w:pPr>
    <w:rPr>
      <w:lang w:bidi="en-US"/>
    </w:rPr>
  </w:style>
  <w:style w:type="paragraph" w:styleId="Caption">
    <w:name w:val="caption"/>
    <w:basedOn w:val="Normal"/>
    <w:next w:val="Normal"/>
    <w:uiPriority w:val="35"/>
    <w:unhideWhenUsed/>
    <w:rsid w:val="00BA6484"/>
    <w:rPr>
      <w:b/>
      <w:bCs/>
      <w:color w:val="4F81BD" w:themeColor="accent1"/>
      <w:sz w:val="18"/>
      <w:szCs w:val="18"/>
    </w:rPr>
  </w:style>
  <w:style w:type="paragraph" w:styleId="BalloonText">
    <w:name w:val="Balloon Text"/>
    <w:basedOn w:val="Normal"/>
    <w:link w:val="BalloonTextChar"/>
    <w:uiPriority w:val="99"/>
    <w:semiHidden/>
    <w:unhideWhenUsed/>
    <w:rsid w:val="00BA64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484"/>
    <w:rPr>
      <w:rFonts w:ascii="Tahoma" w:hAnsi="Tahoma" w:cs="Tahoma"/>
      <w:sz w:val="16"/>
      <w:szCs w:val="16"/>
    </w:rPr>
  </w:style>
  <w:style w:type="paragraph" w:styleId="NormalWeb">
    <w:name w:val="Normal (Web)"/>
    <w:basedOn w:val="Normal"/>
    <w:uiPriority w:val="99"/>
    <w:unhideWhenUsed/>
    <w:rsid w:val="008E1323"/>
    <w:pPr>
      <w:spacing w:before="100" w:beforeAutospacing="1" w:after="100" w:afterAutospacing="1"/>
    </w:pPr>
    <w:rPr>
      <w:rFonts w:cs="Times New Roman"/>
      <w:sz w:val="24"/>
      <w:szCs w:val="24"/>
      <w:lang w:eastAsia="en-NZ"/>
    </w:rPr>
  </w:style>
  <w:style w:type="table" w:styleId="TableGrid">
    <w:name w:val="Table Grid"/>
    <w:basedOn w:val="TableNormal"/>
    <w:uiPriority w:val="59"/>
    <w:rsid w:val="00A67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7ACB"/>
    <w:rPr>
      <w:color w:val="808080"/>
    </w:rPr>
  </w:style>
  <w:style w:type="paragraph" w:styleId="FootnoteText">
    <w:name w:val="footnote text"/>
    <w:basedOn w:val="Normal"/>
    <w:link w:val="FootnoteTextChar"/>
    <w:uiPriority w:val="99"/>
    <w:semiHidden/>
    <w:unhideWhenUsed/>
    <w:rsid w:val="00047556"/>
    <w:pPr>
      <w:spacing w:after="0"/>
    </w:pPr>
    <w:rPr>
      <w:szCs w:val="20"/>
    </w:rPr>
  </w:style>
  <w:style w:type="character" w:customStyle="1" w:styleId="FootnoteTextChar">
    <w:name w:val="Footnote Text Char"/>
    <w:basedOn w:val="DefaultParagraphFont"/>
    <w:link w:val="FootnoteText"/>
    <w:uiPriority w:val="99"/>
    <w:semiHidden/>
    <w:rsid w:val="00047556"/>
    <w:rPr>
      <w:rFonts w:ascii="Times New Roman" w:hAnsi="Times New Roman"/>
      <w:sz w:val="20"/>
      <w:szCs w:val="20"/>
    </w:rPr>
  </w:style>
  <w:style w:type="character" w:styleId="FootnoteReference">
    <w:name w:val="footnote reference"/>
    <w:basedOn w:val="DefaultParagraphFont"/>
    <w:uiPriority w:val="99"/>
    <w:semiHidden/>
    <w:unhideWhenUsed/>
    <w:rsid w:val="00047556"/>
    <w:rPr>
      <w:vertAlign w:val="superscript"/>
    </w:rPr>
  </w:style>
  <w:style w:type="table" w:styleId="MediumList1-Accent1">
    <w:name w:val="Medium List 1 Accent 1"/>
    <w:basedOn w:val="TableNormal"/>
    <w:uiPriority w:val="65"/>
    <w:rsid w:val="0084513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
    <w:name w:val="Light Shading"/>
    <w:basedOn w:val="TableNormal"/>
    <w:uiPriority w:val="60"/>
    <w:rsid w:val="008451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5696">
      <w:bodyDiv w:val="1"/>
      <w:marLeft w:val="0"/>
      <w:marRight w:val="0"/>
      <w:marTop w:val="0"/>
      <w:marBottom w:val="0"/>
      <w:divBdr>
        <w:top w:val="none" w:sz="0" w:space="0" w:color="auto"/>
        <w:left w:val="none" w:sz="0" w:space="0" w:color="auto"/>
        <w:bottom w:val="none" w:sz="0" w:space="0" w:color="auto"/>
        <w:right w:val="none" w:sz="0" w:space="0" w:color="auto"/>
      </w:divBdr>
      <w:divsChild>
        <w:div w:id="1523013222">
          <w:marLeft w:val="0"/>
          <w:marRight w:val="0"/>
          <w:marTop w:val="0"/>
          <w:marBottom w:val="0"/>
          <w:divBdr>
            <w:top w:val="none" w:sz="0" w:space="0" w:color="auto"/>
            <w:left w:val="none" w:sz="0" w:space="0" w:color="auto"/>
            <w:bottom w:val="none" w:sz="0" w:space="0" w:color="auto"/>
            <w:right w:val="none" w:sz="0" w:space="0" w:color="auto"/>
          </w:divBdr>
          <w:divsChild>
            <w:div w:id="480268437">
              <w:marLeft w:val="0"/>
              <w:marRight w:val="0"/>
              <w:marTop w:val="0"/>
              <w:marBottom w:val="0"/>
              <w:divBdr>
                <w:top w:val="none" w:sz="0" w:space="0" w:color="auto"/>
                <w:left w:val="none" w:sz="0" w:space="0" w:color="auto"/>
                <w:bottom w:val="none" w:sz="0" w:space="0" w:color="auto"/>
                <w:right w:val="none" w:sz="0" w:space="0" w:color="auto"/>
              </w:divBdr>
              <w:divsChild>
                <w:div w:id="1477063890">
                  <w:marLeft w:val="0"/>
                  <w:marRight w:val="0"/>
                  <w:marTop w:val="0"/>
                  <w:marBottom w:val="0"/>
                  <w:divBdr>
                    <w:top w:val="none" w:sz="0" w:space="0" w:color="auto"/>
                    <w:left w:val="none" w:sz="0" w:space="0" w:color="auto"/>
                    <w:bottom w:val="none" w:sz="0" w:space="0" w:color="auto"/>
                    <w:right w:val="none" w:sz="0" w:space="0" w:color="auto"/>
                  </w:divBdr>
                  <w:divsChild>
                    <w:div w:id="533272866">
                      <w:marLeft w:val="0"/>
                      <w:marRight w:val="0"/>
                      <w:marTop w:val="0"/>
                      <w:marBottom w:val="0"/>
                      <w:divBdr>
                        <w:top w:val="none" w:sz="0" w:space="0" w:color="auto"/>
                        <w:left w:val="none" w:sz="0" w:space="0" w:color="auto"/>
                        <w:bottom w:val="none" w:sz="0" w:space="0" w:color="auto"/>
                        <w:right w:val="none" w:sz="0" w:space="0" w:color="auto"/>
                      </w:divBdr>
                      <w:divsChild>
                        <w:div w:id="1161501666">
                          <w:marLeft w:val="0"/>
                          <w:marRight w:val="0"/>
                          <w:marTop w:val="0"/>
                          <w:marBottom w:val="0"/>
                          <w:divBdr>
                            <w:top w:val="none" w:sz="0" w:space="0" w:color="auto"/>
                            <w:left w:val="none" w:sz="0" w:space="0" w:color="auto"/>
                            <w:bottom w:val="none" w:sz="0" w:space="0" w:color="auto"/>
                            <w:right w:val="none" w:sz="0" w:space="0" w:color="auto"/>
                          </w:divBdr>
                          <w:divsChild>
                            <w:div w:id="601299084">
                              <w:marLeft w:val="0"/>
                              <w:marRight w:val="0"/>
                              <w:marTop w:val="0"/>
                              <w:marBottom w:val="0"/>
                              <w:divBdr>
                                <w:top w:val="none" w:sz="0" w:space="0" w:color="auto"/>
                                <w:left w:val="none" w:sz="0" w:space="0" w:color="auto"/>
                                <w:bottom w:val="none" w:sz="0" w:space="0" w:color="auto"/>
                                <w:right w:val="none" w:sz="0" w:space="0" w:color="auto"/>
                              </w:divBdr>
                              <w:divsChild>
                                <w:div w:id="839080314">
                                  <w:marLeft w:val="0"/>
                                  <w:marRight w:val="0"/>
                                  <w:marTop w:val="0"/>
                                  <w:marBottom w:val="0"/>
                                  <w:divBdr>
                                    <w:top w:val="none" w:sz="0" w:space="0" w:color="auto"/>
                                    <w:left w:val="none" w:sz="0" w:space="0" w:color="auto"/>
                                    <w:bottom w:val="none" w:sz="0" w:space="0" w:color="auto"/>
                                    <w:right w:val="none" w:sz="0" w:space="0" w:color="auto"/>
                                  </w:divBdr>
                                  <w:divsChild>
                                    <w:div w:id="417873632">
                                      <w:marLeft w:val="0"/>
                                      <w:marRight w:val="0"/>
                                      <w:marTop w:val="0"/>
                                      <w:marBottom w:val="0"/>
                                      <w:divBdr>
                                        <w:top w:val="none" w:sz="0" w:space="0" w:color="auto"/>
                                        <w:left w:val="none" w:sz="0" w:space="0" w:color="auto"/>
                                        <w:bottom w:val="none" w:sz="0" w:space="0" w:color="auto"/>
                                        <w:right w:val="none" w:sz="0" w:space="0" w:color="auto"/>
                                      </w:divBdr>
                                      <w:divsChild>
                                        <w:div w:id="1156918428">
                                          <w:marLeft w:val="0"/>
                                          <w:marRight w:val="0"/>
                                          <w:marTop w:val="0"/>
                                          <w:marBottom w:val="0"/>
                                          <w:divBdr>
                                            <w:top w:val="none" w:sz="0" w:space="0" w:color="auto"/>
                                            <w:left w:val="none" w:sz="0" w:space="0" w:color="auto"/>
                                            <w:bottom w:val="none" w:sz="0" w:space="0" w:color="auto"/>
                                            <w:right w:val="none" w:sz="0" w:space="0" w:color="auto"/>
                                          </w:divBdr>
                                          <w:divsChild>
                                            <w:div w:id="104496160">
                                              <w:marLeft w:val="0"/>
                                              <w:marRight w:val="0"/>
                                              <w:marTop w:val="0"/>
                                              <w:marBottom w:val="0"/>
                                              <w:divBdr>
                                                <w:top w:val="none" w:sz="0" w:space="0" w:color="auto"/>
                                                <w:left w:val="none" w:sz="0" w:space="0" w:color="auto"/>
                                                <w:bottom w:val="none" w:sz="0" w:space="0" w:color="auto"/>
                                                <w:right w:val="none" w:sz="0" w:space="0" w:color="auto"/>
                                              </w:divBdr>
                                              <w:divsChild>
                                                <w:div w:id="1023826016">
                                                  <w:marLeft w:val="0"/>
                                                  <w:marRight w:val="0"/>
                                                  <w:marTop w:val="0"/>
                                                  <w:marBottom w:val="0"/>
                                                  <w:divBdr>
                                                    <w:top w:val="none" w:sz="0" w:space="0" w:color="auto"/>
                                                    <w:left w:val="none" w:sz="0" w:space="0" w:color="auto"/>
                                                    <w:bottom w:val="none" w:sz="0" w:space="0" w:color="auto"/>
                                                    <w:right w:val="none" w:sz="0" w:space="0" w:color="auto"/>
                                                  </w:divBdr>
                                                  <w:divsChild>
                                                    <w:div w:id="13096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ENGG492\Research\Volum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65814827038835"/>
          <c:y val="6.7287998091147702E-2"/>
          <c:w val="0.73307055180976632"/>
          <c:h val="0.71903507516105947"/>
        </c:manualLayout>
      </c:layout>
      <c:scatterChart>
        <c:scatterStyle val="lineMarker"/>
        <c:varyColors val="1"/>
        <c:ser>
          <c:idx val="0"/>
          <c:order val="0"/>
          <c:tx>
            <c:strRef>
              <c:f>Sheet1!$H$31</c:f>
              <c:strCache>
                <c:ptCount val="1"/>
                <c:pt idx="0">
                  <c:v>Compression Volume</c:v>
                </c:pt>
              </c:strCache>
            </c:strRef>
          </c:tx>
          <c:spPr>
            <a:ln w="28440">
              <a:solidFill>
                <a:srgbClr val="4A7EBB"/>
              </a:solidFill>
              <a:prstDash val="dash"/>
              <a:round/>
            </a:ln>
          </c:spPr>
          <c:marker>
            <c:symbol val="none"/>
          </c:marker>
          <c:xVal>
            <c:numRef>
              <c:f>Sheet1!$C$32:$C$56</c:f>
              <c:numCache>
                <c:formatCode>General</c:formatCode>
                <c:ptCount val="25"/>
                <c:pt idx="0">
                  <c:v>0</c:v>
                </c:pt>
                <c:pt idx="1">
                  <c:v>15</c:v>
                </c:pt>
                <c:pt idx="2">
                  <c:v>30</c:v>
                </c:pt>
                <c:pt idx="3">
                  <c:v>45</c:v>
                </c:pt>
                <c:pt idx="4">
                  <c:v>60</c:v>
                </c:pt>
                <c:pt idx="5">
                  <c:v>75</c:v>
                </c:pt>
                <c:pt idx="6">
                  <c:v>90</c:v>
                </c:pt>
                <c:pt idx="7">
                  <c:v>105</c:v>
                </c:pt>
                <c:pt idx="8">
                  <c:v>120</c:v>
                </c:pt>
                <c:pt idx="9">
                  <c:v>135</c:v>
                </c:pt>
                <c:pt idx="10">
                  <c:v>150</c:v>
                </c:pt>
                <c:pt idx="11">
                  <c:v>165</c:v>
                </c:pt>
                <c:pt idx="12">
                  <c:v>180</c:v>
                </c:pt>
                <c:pt idx="13">
                  <c:v>195</c:v>
                </c:pt>
                <c:pt idx="14">
                  <c:v>210</c:v>
                </c:pt>
                <c:pt idx="15">
                  <c:v>225</c:v>
                </c:pt>
                <c:pt idx="16">
                  <c:v>240</c:v>
                </c:pt>
                <c:pt idx="17">
                  <c:v>255</c:v>
                </c:pt>
                <c:pt idx="18">
                  <c:v>270</c:v>
                </c:pt>
                <c:pt idx="19">
                  <c:v>285</c:v>
                </c:pt>
                <c:pt idx="20">
                  <c:v>300</c:v>
                </c:pt>
                <c:pt idx="21">
                  <c:v>315</c:v>
                </c:pt>
                <c:pt idx="22">
                  <c:v>330</c:v>
                </c:pt>
                <c:pt idx="23">
                  <c:v>345</c:v>
                </c:pt>
                <c:pt idx="24">
                  <c:v>360</c:v>
                </c:pt>
              </c:numCache>
            </c:numRef>
          </c:xVal>
          <c:yVal>
            <c:numRef>
              <c:f>Sheet1!$H$32:$H$56</c:f>
              <c:numCache>
                <c:formatCode>General</c:formatCode>
                <c:ptCount val="25"/>
                <c:pt idx="0">
                  <c:v>1569.8473040141246</c:v>
                </c:pt>
                <c:pt idx="1">
                  <c:v>1291.6627612439952</c:v>
                </c:pt>
                <c:pt idx="2">
                  <c:v>997.29180051112814</c:v>
                </c:pt>
                <c:pt idx="3">
                  <c:v>706.12060153030404</c:v>
                </c:pt>
                <c:pt idx="4">
                  <c:v>440.43833883141673</c:v>
                </c:pt>
                <c:pt idx="5">
                  <c:v>223.09182337840363</c:v>
                </c:pt>
                <c:pt idx="6">
                  <c:v>73.472602240434568</c:v>
                </c:pt>
                <c:pt idx="7">
                  <c:v>2.9388298572780132</c:v>
                </c:pt>
                <c:pt idx="8">
                  <c:v>12.792451420365856</c:v>
                </c:pt>
                <c:pt idx="9">
                  <c:v>96.646054913822027</c:v>
                </c:pt>
                <c:pt idx="10">
                  <c:v>244.84152291401116</c:v>
                </c:pt>
                <c:pt idx="11">
                  <c:v>447.32123389569369</c:v>
                </c:pt>
                <c:pt idx="12">
                  <c:v>693.7459508228676</c:v>
                </c:pt>
                <c:pt idx="13">
                  <c:v>971.93049359299641</c:v>
                </c:pt>
                <c:pt idx="14">
                  <c:v>1266.3014543258644</c:v>
                </c:pt>
                <c:pt idx="15">
                  <c:v>1557.4726533066885</c:v>
                </c:pt>
                <c:pt idx="16">
                  <c:v>1823.1549160055752</c:v>
                </c:pt>
                <c:pt idx="17">
                  <c:v>2040.5014314585887</c:v>
                </c:pt>
                <c:pt idx="18">
                  <c:v>2190.1206525965576</c:v>
                </c:pt>
                <c:pt idx="19">
                  <c:v>2260.6544249797143</c:v>
                </c:pt>
                <c:pt idx="20">
                  <c:v>2250.8008034166255</c:v>
                </c:pt>
                <c:pt idx="21">
                  <c:v>2166.94719992317</c:v>
                </c:pt>
                <c:pt idx="22">
                  <c:v>2018.7517319229819</c:v>
                </c:pt>
                <c:pt idx="23">
                  <c:v>1816.2720209412983</c:v>
                </c:pt>
                <c:pt idx="24">
                  <c:v>1569.8473040141248</c:v>
                </c:pt>
              </c:numCache>
            </c:numRef>
          </c:yVal>
          <c:smooth val="1"/>
        </c:ser>
        <c:ser>
          <c:idx val="1"/>
          <c:order val="1"/>
          <c:tx>
            <c:strRef>
              <c:f>Sheet1!$I$31</c:f>
              <c:strCache>
                <c:ptCount val="1"/>
                <c:pt idx="0">
                  <c:v>Expansion Volume</c:v>
                </c:pt>
              </c:strCache>
            </c:strRef>
          </c:tx>
          <c:spPr>
            <a:ln w="28440">
              <a:solidFill>
                <a:srgbClr val="BE4B48"/>
              </a:solidFill>
              <a:round/>
            </a:ln>
          </c:spPr>
          <c:marker>
            <c:symbol val="none"/>
          </c:marker>
          <c:xVal>
            <c:numRef>
              <c:f>Sheet1!$C$32:$C$56</c:f>
              <c:numCache>
                <c:formatCode>General</c:formatCode>
                <c:ptCount val="25"/>
                <c:pt idx="0">
                  <c:v>0</c:v>
                </c:pt>
                <c:pt idx="1">
                  <c:v>15</c:v>
                </c:pt>
                <c:pt idx="2">
                  <c:v>30</c:v>
                </c:pt>
                <c:pt idx="3">
                  <c:v>45</c:v>
                </c:pt>
                <c:pt idx="4">
                  <c:v>60</c:v>
                </c:pt>
                <c:pt idx="5">
                  <c:v>75</c:v>
                </c:pt>
                <c:pt idx="6">
                  <c:v>90</c:v>
                </c:pt>
                <c:pt idx="7">
                  <c:v>105</c:v>
                </c:pt>
                <c:pt idx="8">
                  <c:v>120</c:v>
                </c:pt>
                <c:pt idx="9">
                  <c:v>135</c:v>
                </c:pt>
                <c:pt idx="10">
                  <c:v>150</c:v>
                </c:pt>
                <c:pt idx="11">
                  <c:v>165</c:v>
                </c:pt>
                <c:pt idx="12">
                  <c:v>180</c:v>
                </c:pt>
                <c:pt idx="13">
                  <c:v>195</c:v>
                </c:pt>
                <c:pt idx="14">
                  <c:v>210</c:v>
                </c:pt>
                <c:pt idx="15">
                  <c:v>225</c:v>
                </c:pt>
                <c:pt idx="16">
                  <c:v>240</c:v>
                </c:pt>
                <c:pt idx="17">
                  <c:v>255</c:v>
                </c:pt>
                <c:pt idx="18">
                  <c:v>270</c:v>
                </c:pt>
                <c:pt idx="19">
                  <c:v>285</c:v>
                </c:pt>
                <c:pt idx="20">
                  <c:v>300</c:v>
                </c:pt>
                <c:pt idx="21">
                  <c:v>315</c:v>
                </c:pt>
                <c:pt idx="22">
                  <c:v>330</c:v>
                </c:pt>
                <c:pt idx="23">
                  <c:v>345</c:v>
                </c:pt>
                <c:pt idx="24">
                  <c:v>360</c:v>
                </c:pt>
              </c:numCache>
            </c:numRef>
          </c:xVal>
          <c:yVal>
            <c:numRef>
              <c:f>Sheet1!$I$32:$I$56</c:f>
              <c:numCache>
                <c:formatCode>General</c:formatCode>
                <c:ptCount val="25"/>
                <c:pt idx="0">
                  <c:v>0</c:v>
                </c:pt>
                <c:pt idx="1">
                  <c:v>15.879912921477702</c:v>
                </c:pt>
                <c:pt idx="2">
                  <c:v>61.825537797069892</c:v>
                </c:pt>
                <c:pt idx="3">
                  <c:v>133.3134032873875</c:v>
                </c:pt>
                <c:pt idx="4">
                  <c:v>224.22773289010291</c:v>
                </c:pt>
                <c:pt idx="5">
                  <c:v>327.97417983506563</c:v>
                </c:pt>
                <c:pt idx="6">
                  <c:v>438.05067659562837</c:v>
                </c:pt>
                <c:pt idx="7">
                  <c:v>548.12717335619141</c:v>
                </c:pt>
                <c:pt idx="8">
                  <c:v>651.87362030115378</c:v>
                </c:pt>
                <c:pt idx="9">
                  <c:v>742.7879499038695</c:v>
                </c:pt>
                <c:pt idx="10">
                  <c:v>814.27581539418691</c:v>
                </c:pt>
                <c:pt idx="11">
                  <c:v>860.22144026977946</c:v>
                </c:pt>
                <c:pt idx="12">
                  <c:v>876.10135319125686</c:v>
                </c:pt>
                <c:pt idx="13">
                  <c:v>860.22144026977946</c:v>
                </c:pt>
                <c:pt idx="14">
                  <c:v>814.27581539418691</c:v>
                </c:pt>
                <c:pt idx="15">
                  <c:v>742.7879499038695</c:v>
                </c:pt>
                <c:pt idx="16">
                  <c:v>651.87362030115401</c:v>
                </c:pt>
                <c:pt idx="17">
                  <c:v>548.12717335619141</c:v>
                </c:pt>
                <c:pt idx="18">
                  <c:v>438.05067659562854</c:v>
                </c:pt>
                <c:pt idx="19">
                  <c:v>327.97417983506546</c:v>
                </c:pt>
                <c:pt idx="20">
                  <c:v>224.22773289010311</c:v>
                </c:pt>
                <c:pt idx="21">
                  <c:v>133.31340328738767</c:v>
                </c:pt>
                <c:pt idx="22">
                  <c:v>61.825537797070076</c:v>
                </c:pt>
                <c:pt idx="23">
                  <c:v>15.879912921477702</c:v>
                </c:pt>
                <c:pt idx="24">
                  <c:v>0</c:v>
                </c:pt>
              </c:numCache>
            </c:numRef>
          </c:yVal>
          <c:smooth val="1"/>
        </c:ser>
        <c:dLbls>
          <c:showLegendKey val="0"/>
          <c:showVal val="0"/>
          <c:showCatName val="0"/>
          <c:showSerName val="0"/>
          <c:showPercent val="0"/>
          <c:showBubbleSize val="0"/>
        </c:dLbls>
        <c:axId val="111896448"/>
        <c:axId val="111911296"/>
      </c:scatterChart>
      <c:valAx>
        <c:axId val="111896448"/>
        <c:scaling>
          <c:orientation val="minMax"/>
          <c:max val="360"/>
          <c:min val="0"/>
        </c:scaling>
        <c:delete val="0"/>
        <c:axPos val="b"/>
        <c:title>
          <c:tx>
            <c:rich>
              <a:bodyPr/>
              <a:lstStyle/>
              <a:p>
                <a:pPr>
                  <a:defRPr/>
                </a:pPr>
                <a:r>
                  <a:rPr lang="en-NZ"/>
                  <a:t>Crank</a:t>
                </a:r>
                <a:r>
                  <a:rPr lang="en-NZ" baseline="0"/>
                  <a:t> angle, degrees</a:t>
                </a:r>
                <a:endParaRPr lang="en-NZ"/>
              </a:p>
            </c:rich>
          </c:tx>
          <c:layout>
            <c:manualLayout>
              <c:xMode val="edge"/>
              <c:yMode val="edge"/>
              <c:x val="0.35930249736746978"/>
              <c:y val="0.89998520639465518"/>
            </c:manualLayout>
          </c:layout>
          <c:overlay val="0"/>
        </c:title>
        <c:numFmt formatCode="General" sourceLinked="1"/>
        <c:majorTickMark val="out"/>
        <c:minorTickMark val="none"/>
        <c:tickLblPos val="nextTo"/>
        <c:spPr>
          <a:ln w="9360">
            <a:solidFill>
              <a:srgbClr val="878787"/>
            </a:solidFill>
            <a:round/>
          </a:ln>
        </c:spPr>
        <c:crossAx val="111911296"/>
        <c:crossesAt val="0"/>
        <c:crossBetween val="midCat"/>
      </c:valAx>
      <c:valAx>
        <c:axId val="111911296"/>
        <c:scaling>
          <c:orientation val="minMax"/>
          <c:min val="0"/>
        </c:scaling>
        <c:delete val="0"/>
        <c:axPos val="l"/>
        <c:title>
          <c:tx>
            <c:rich>
              <a:bodyPr rot="-5400000" vert="horz"/>
              <a:lstStyle/>
              <a:p>
                <a:pPr>
                  <a:defRPr/>
                </a:pPr>
                <a:r>
                  <a:rPr lang="en-NZ"/>
                  <a:t>Volume</a:t>
                </a:r>
                <a:r>
                  <a:rPr lang="en-NZ" baseline="0"/>
                  <a:t>, cc</a:t>
                </a:r>
                <a:endParaRPr lang="en-NZ"/>
              </a:p>
            </c:rich>
          </c:tx>
          <c:layout>
            <c:manualLayout>
              <c:xMode val="edge"/>
              <c:yMode val="edge"/>
              <c:x val="4.5439829003410485E-3"/>
              <c:y val="0.33976234788833215"/>
            </c:manualLayout>
          </c:layout>
          <c:overlay val="0"/>
        </c:title>
        <c:numFmt formatCode="General" sourceLinked="1"/>
        <c:majorTickMark val="out"/>
        <c:minorTickMark val="none"/>
        <c:tickLblPos val="nextTo"/>
        <c:spPr>
          <a:ln w="9360">
            <a:solidFill>
              <a:srgbClr val="878787"/>
            </a:solidFill>
            <a:round/>
          </a:ln>
        </c:spPr>
        <c:crossAx val="111896448"/>
        <c:crossesAt val="0"/>
        <c:crossBetween val="midCat"/>
      </c:valAx>
      <c:spPr>
        <a:solidFill>
          <a:srgbClr val="FFFFFF"/>
        </a:solidFill>
      </c:spPr>
    </c:plotArea>
    <c:legend>
      <c:legendPos val="r"/>
      <c:layout>
        <c:manualLayout>
          <c:xMode val="edge"/>
          <c:yMode val="edge"/>
          <c:x val="0.25269366778254509"/>
          <c:y val="1.4146504414220959E-2"/>
          <c:w val="0.37604884718751475"/>
          <c:h val="0.36564638511095204"/>
        </c:manualLayout>
      </c:layout>
      <c:overlay val="1"/>
    </c:legend>
    <c:plotVisOnly val="1"/>
    <c:dispBlanksAs val="zero"/>
    <c:showDLblsOverMax val="1"/>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9678-C2E0-450F-BDA3-85C3FDD8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9</Pages>
  <Words>5869</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Thomasje</dc:creator>
  <cp:keywords/>
  <dc:description/>
  <cp:lastModifiedBy>Thomasje</cp:lastModifiedBy>
  <cp:revision>13</cp:revision>
  <dcterms:created xsi:type="dcterms:W3CDTF">2013-10-22T05:50:00Z</dcterms:created>
  <dcterms:modified xsi:type="dcterms:W3CDTF">2013-10-24T01:08:00Z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106498@gmail.com@www.mendeley.com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